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CA921">
      <w:pPr>
        <w:pStyle w:val="124"/>
        <w:framePr w:wrap="around"/>
        <w:rPr>
          <w:highlight w:val="none"/>
        </w:rPr>
      </w:pPr>
      <w:r>
        <w:rPr>
          <w:rFonts w:ascii="Times New Roman"/>
          <w:highlight w:val="none"/>
        </w:rPr>
        <w:t>ICS</w:t>
      </w:r>
      <w:r>
        <w:rPr>
          <w:rFonts w:hint="eastAsia" w:hAnsi="黑体"/>
          <w:highlight w:val="none"/>
          <w:lang w:val="en-US" w:eastAsia="zh-CN"/>
        </w:rPr>
        <w:t xml:space="preserve"> </w:t>
      </w:r>
      <w:r>
        <w:rPr>
          <w:rFonts w:hint="eastAsia" w:hAnsi="黑体"/>
          <w:highlight w:val="none"/>
        </w:rPr>
        <w:t>03.120.20</w:t>
      </w:r>
    </w:p>
    <w:p w14:paraId="77D13EB0">
      <w:pPr>
        <w:pStyle w:val="124"/>
        <w:framePr w:wrap="around"/>
        <w:rPr>
          <w:rFonts w:ascii="Times New Roman"/>
          <w:highlight w:val="none"/>
        </w:rPr>
      </w:pPr>
      <w:r>
        <w:rPr>
          <w:rFonts w:hint="eastAsia" w:ascii="Times New Roman"/>
          <w:highlight w:val="none"/>
        </w:rPr>
        <w:t>CCS  A 00</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8"/>
      </w:tblGrid>
      <w:tr w14:paraId="1D2EED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8" w:type="dxa"/>
            <w:tcBorders>
              <w:top w:val="nil"/>
              <w:left w:val="nil"/>
              <w:bottom w:val="nil"/>
              <w:right w:val="nil"/>
            </w:tcBorders>
            <w:shd w:val="clear" w:color="auto" w:fill="auto"/>
          </w:tcPr>
          <w:p w14:paraId="315ECEC3">
            <w:pPr>
              <w:pStyle w:val="124"/>
              <w:framePr w:wrap="around"/>
              <w:rPr>
                <w:highlight w:val="none"/>
              </w:rPr>
            </w:pPr>
          </w:p>
        </w:tc>
      </w:tr>
    </w:tbl>
    <w:p w14:paraId="2C4DA520">
      <w:pPr>
        <w:pStyle w:val="110"/>
        <w:framePr w:wrap="around"/>
        <w:wordWrap w:val="0"/>
        <w:rPr>
          <w:highlight w:val="yellow"/>
        </w:rPr>
      </w:pPr>
      <w:r>
        <w:rPr>
          <w:highlight w:val="none"/>
        </w:rPr>
        <w:t xml:space="preserve">  </w:t>
      </w:r>
    </w:p>
    <w:p w14:paraId="39C484EE">
      <w:pPr>
        <w:pStyle w:val="111"/>
        <w:framePr w:w="8038" w:wrap="around" w:x="2104"/>
        <w:rPr>
          <w:rFonts w:ascii="Times New Roman" w:hAnsi="Times New Roman"/>
          <w:sz w:val="72"/>
          <w:szCs w:val="72"/>
          <w:highlight w:val="yellow"/>
        </w:rPr>
      </w:pPr>
      <w:r>
        <w:rPr>
          <w:rFonts w:hint="eastAsia" w:ascii="Times New Roman" w:hAnsi="Times New Roman"/>
          <w:sz w:val="72"/>
          <w:szCs w:val="72"/>
          <w:highlight w:val="none"/>
        </w:rPr>
        <w:t>团体标准</w:t>
      </w:r>
    </w:p>
    <w:p w14:paraId="432C832A">
      <w:pPr>
        <w:pStyle w:val="48"/>
        <w:framePr w:wrap="around"/>
        <w:rPr>
          <w:rFonts w:hint="eastAsia" w:hAnsi="黑体" w:cs="黑体"/>
          <w:highlight w:val="yellow"/>
        </w:rPr>
      </w:pPr>
      <w:r>
        <w:rPr>
          <w:rFonts w:hint="eastAsia" w:hAnsi="黑体" w:cs="黑体"/>
          <w:highlight w:val="none"/>
        </w:rPr>
        <w:t>T/CCAA XX—XXXX</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30"/>
      </w:tblGrid>
      <w:tr w14:paraId="20E4D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130" w:type="dxa"/>
            <w:tcBorders>
              <w:top w:val="nil"/>
              <w:left w:val="nil"/>
              <w:bottom w:val="nil"/>
              <w:right w:val="nil"/>
            </w:tcBorders>
            <w:shd w:val="clear" w:color="auto" w:fill="auto"/>
          </w:tcPr>
          <w:p w14:paraId="1DB0C0E5">
            <w:pPr>
              <w:pStyle w:val="77"/>
              <w:framePr w:wrap="around"/>
              <w:rPr>
                <w:highlight w:val="yellow"/>
              </w:rPr>
            </w:pPr>
            <w:r>
              <w:rPr>
                <w:highlight w:val="yellow"/>
              </w:rPr>
              <mc:AlternateContent>
                <mc:Choice Requires="wps">
                  <w:drawing>
                    <wp:anchor distT="0" distB="0" distL="114300" distR="114300" simplePos="0" relativeHeight="251663360" behindDoc="1" locked="0" layoutInCell="1" allowOverlap="1">
                      <wp:simplePos x="0" y="0"/>
                      <wp:positionH relativeFrom="column">
                        <wp:posOffset>4665980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25400" cap="flat" cmpd="sng" algn="ctr">
                                <a:noFill/>
                                <a:prstDash val="solid"/>
                              </a:ln>
                              <a:effectLst/>
                            </wps:spPr>
                            <wps:txbx>
                              <w:txbxContent>
                                <w:p w14:paraId="6C3B3C0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DT" o:spid="_x0000_s1026" o:spt="1" style="position:absolute;left:0pt;margin-left:367.4pt;margin-top:2.7pt;height:18pt;width:90pt;z-index:-251653120;v-text-anchor:middle;mso-width-relative:page;mso-height-relative:page;" fillcolor="#FFFFFF" filled="t" stroked="f" coordsize="21600,21600" o:gfxdata="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We5P/TAAAACAEA&#10;AA8AAAAAAAAAAQAgAAAAIgAAAGRycy9kb3ducmV2LnhtbFBLAQIUABQAAAAIAIdO4kCpIlCfWAIA&#10;AMcEAAAOAAAAAAAAAAEAIAAAACIBAABkcnMvZTJvRG9jLnhtbFBLBQYAAAAABgAGAFkBAADsBQAA&#10;AAA=&#10;">
                      <v:fill on="t" focussize="0,0"/>
                      <v:stroke on="f" weight="2pt"/>
                      <v:imagedata o:title=""/>
                      <o:lock v:ext="edit" aspectratio="f"/>
                      <v:textbox>
                        <w:txbxContent>
                          <w:p w14:paraId="6C3B3C0A">
                            <w:pPr>
                              <w:jc w:val="center"/>
                            </w:pPr>
                          </w:p>
                        </w:txbxContent>
                      </v:textbox>
                    </v:rect>
                  </w:pict>
                </mc:Fallback>
              </mc:AlternateContent>
            </w:r>
          </w:p>
        </w:tc>
      </w:tr>
    </w:tbl>
    <w:p w14:paraId="05B82A82">
      <w:pPr>
        <w:pStyle w:val="48"/>
        <w:framePr w:wrap="around"/>
        <w:rPr>
          <w:rFonts w:hint="eastAsia" w:hAnsi="黑体"/>
          <w:highlight w:val="yellow"/>
        </w:rPr>
      </w:pPr>
    </w:p>
    <w:p w14:paraId="05437D12">
      <w:pPr>
        <w:pStyle w:val="48"/>
        <w:framePr w:wrap="around"/>
        <w:rPr>
          <w:rFonts w:hint="eastAsia" w:hAnsi="黑体"/>
          <w:highlight w:val="yellow"/>
        </w:rPr>
      </w:pPr>
    </w:p>
    <w:p w14:paraId="0921C5BA">
      <w:pPr>
        <w:pStyle w:val="79"/>
        <w:framePr w:wrap="notBeside"/>
        <w:rPr>
          <w:rFonts w:hint="default" w:hAnsi="黑体" w:eastAsia="黑体"/>
          <w:b/>
          <w:color w:val="000000" w:themeColor="text1"/>
          <w:szCs w:val="48"/>
          <w:highlight w:val="none"/>
          <w:lang w:val="en-US" w:eastAsia="zh-CN"/>
          <w14:textFill>
            <w14:solidFill>
              <w14:schemeClr w14:val="tx1"/>
            </w14:solidFill>
          </w14:textFill>
        </w:rPr>
      </w:pPr>
      <w:r>
        <w:rPr>
          <w:rFonts w:hint="eastAsia" w:hAnsi="黑体"/>
          <w:b/>
          <w:color w:val="000000" w:themeColor="text1"/>
          <w:szCs w:val="48"/>
          <w:highlight w:val="none"/>
          <w:lang w:val="en-US" w:eastAsia="zh-CN"/>
          <w14:textFill>
            <w14:solidFill>
              <w14:schemeClr w14:val="tx1"/>
            </w14:solidFill>
          </w14:textFill>
        </w:rPr>
        <w:t>碳管理体系 钢铁企业要求</w:t>
      </w:r>
    </w:p>
    <w:p w14:paraId="6FAB2E29">
      <w:pPr>
        <w:framePr w:w="9639" w:h="6917" w:hRule="exact" w:wrap="notBeside" w:vAnchor="page" w:hAnchor="page" w:xAlign="center" w:y="6408" w:anchorLock="1"/>
        <w:adjustRightInd w:val="0"/>
        <w:snapToGrid w:val="0"/>
        <w:spacing w:before="62" w:beforeLines="20" w:after="62" w:afterLines="20"/>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Carbon management systems-Requirements for iron and steel enterprise</w:t>
      </w:r>
    </w:p>
    <w:p w14:paraId="1516C093">
      <w:pPr>
        <w:pStyle w:val="81"/>
        <w:framePr w:wrap="notBeside"/>
        <w:rPr>
          <w:highlight w:val="yellow"/>
        </w:rPr>
      </w:pP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14:paraId="3BD37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auto"/>
          </w:tcPr>
          <w:p w14:paraId="24E68D9D">
            <w:pPr>
              <w:pStyle w:val="82"/>
              <w:framePr w:wrap="notBeside"/>
              <w:rPr>
                <w:highlight w:val="yellow"/>
              </w:rPr>
            </w:pPr>
            <w:r>
              <w:rPr>
                <w:highlight w:val="none"/>
              </w:rPr>
              <mc:AlternateContent>
                <mc:Choice Requires="wps">
                  <w:drawing>
                    <wp:anchor distT="0" distB="0" distL="114300" distR="114300" simplePos="0" relativeHeight="251665408" behindDoc="1" locked="1" layoutInCell="1" allowOverlap="1">
                      <wp:simplePos x="0" y="0"/>
                      <wp:positionH relativeFrom="column">
                        <wp:posOffset>2132330</wp:posOffset>
                      </wp:positionH>
                      <wp:positionV relativeFrom="paragraph">
                        <wp:posOffset>573405</wp:posOffset>
                      </wp:positionV>
                      <wp:extent cx="1905000" cy="254000"/>
                      <wp:effectExtent l="0" t="0" r="0" b="0"/>
                      <wp:wrapNone/>
                      <wp:docPr id="7"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25400" cap="flat" cmpd="sng" algn="ctr">
                                <a:noFill/>
                                <a:prstDash val="solid"/>
                              </a:ln>
                              <a:effectLst/>
                            </wps:spPr>
                            <wps:txbx>
                              <w:txbxContent>
                                <w:p w14:paraId="0FFF43BB">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Q" o:spid="_x0000_s1026" o:spt="1" style="position:absolute;left:0pt;margin-left:167.9pt;margin-top:45.15pt;height:20pt;width:150pt;z-index:-251651072;v-text-anchor:middle;mso-width-relative:page;mso-height-relative:page;" fillcolor="#FFFFFF" filled="t" stroked="f" coordsize="21600,21600" o:gfxdata="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iiOF3TAAAACgEAAA8A&#10;AAAAAAAAAQAgAAAAIgAAAGRycy9kb3ducmV2LnhtbFBLAQIUABQAAAAIAIdO4kC90npGVQIAAMcE&#10;AAAOAAAAAAAAAAEAIAAAACIBAABkcnMvZTJvRG9jLnhtbFBLBQYAAAAABgAGAFkBAADpBQAAAAA=&#10;">
                      <v:fill on="t" focussize="0,0"/>
                      <v:stroke on="f" weight="2pt"/>
                      <v:imagedata o:title=""/>
                      <o:lock v:ext="edit" aspectratio="f"/>
                      <v:textbox>
                        <w:txbxContent>
                          <w:p w14:paraId="0FFF43BB">
                            <w:pPr>
                              <w:jc w:val="center"/>
                            </w:pPr>
                          </w:p>
                        </w:txbxContent>
                      </v:textbox>
                      <w10:anchorlock/>
                    </v:rect>
                  </w:pict>
                </mc:Fallback>
              </mc:AlternateContent>
            </w:r>
            <w:r>
              <w:rPr>
                <w:highlight w:val="none"/>
              </w:rPr>
              <mc:AlternateContent>
                <mc:Choice Requires="wps">
                  <w:drawing>
                    <wp:anchor distT="0" distB="0" distL="114300" distR="114300" simplePos="0" relativeHeight="251664384" behindDoc="1" locked="0" layoutInCell="1" allowOverlap="1">
                      <wp:simplePos x="0" y="0"/>
                      <wp:positionH relativeFrom="column">
                        <wp:posOffset>2383155</wp:posOffset>
                      </wp:positionH>
                      <wp:positionV relativeFrom="paragraph">
                        <wp:posOffset>259715</wp:posOffset>
                      </wp:positionV>
                      <wp:extent cx="1270000" cy="304800"/>
                      <wp:effectExtent l="0" t="0" r="6350" b="0"/>
                      <wp:wrapNone/>
                      <wp:docPr id="6"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25400" cap="flat" cmpd="sng" algn="ctr">
                                <a:noFill/>
                                <a:prstDash val="solid"/>
                              </a:ln>
                              <a:effectLst/>
                            </wps:spPr>
                            <wps:txbx>
                              <w:txbxContent>
                                <w:p w14:paraId="0714E8B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LB" o:spid="_x0000_s1026" o:spt="1" style="position:absolute;left:0pt;margin-left:187.65pt;margin-top:20.45pt;height:24pt;width:100pt;z-index:-251652096;v-text-anchor:middle;mso-width-relative:page;mso-height-relative:page;" fillcolor="#FFFFFF" filled="t" stroked="f" coordsize="21600,21600" o:gfxdata="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AlM8VtUAAAAJ&#10;AQAADwAAAAAAAAABACAAAAAiAAAAZHJzL2Rvd25yZXYueG1sUEsBAhQAFAAAAAgAh07iQOxpSp5Y&#10;AgAAxwQAAA4AAAAAAAAAAQAgAAAAJAEAAGRycy9lMm9Eb2MueG1sUEsFBgAAAAAGAAYAWQEAAO4F&#10;AAAAAA==&#10;">
                      <v:fill on="t" focussize="0,0"/>
                      <v:stroke on="f" weight="2pt"/>
                      <v:imagedata o:title=""/>
                      <o:lock v:ext="edit" aspectratio="f"/>
                      <v:textbox>
                        <w:txbxContent>
                          <w:p w14:paraId="0714E8BD">
                            <w:pPr>
                              <w:jc w:val="center"/>
                            </w:pPr>
                          </w:p>
                        </w:txbxContent>
                      </v:textbox>
                    </v:rect>
                  </w:pict>
                </mc:Fallback>
              </mc:AlternateContent>
            </w:r>
            <w:r>
              <w:rPr>
                <w:rFonts w:hint="eastAsia"/>
                <w:color w:val="000000" w:themeColor="text1"/>
                <w:highlight w:val="none"/>
                <w14:textFill>
                  <w14:solidFill>
                    <w14:schemeClr w14:val="tx1"/>
                  </w14:solidFill>
                </w14:textFill>
              </w:rPr>
              <w:t>（草案）</w:t>
            </w:r>
          </w:p>
        </w:tc>
      </w:tr>
      <w:tr w14:paraId="2AA6B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auto"/>
          </w:tcPr>
          <w:p w14:paraId="3B258D33">
            <w:pPr>
              <w:pStyle w:val="83"/>
              <w:framePr w:wrap="notBeside"/>
              <w:rPr>
                <w:highlight w:val="yellow"/>
              </w:rPr>
            </w:pPr>
          </w:p>
        </w:tc>
      </w:tr>
    </w:tbl>
    <w:p w14:paraId="59A179A3">
      <w:pPr>
        <w:pStyle w:val="131"/>
        <w:framePr w:wrap="around"/>
        <w:rPr>
          <w:highlight w:val="none"/>
        </w:rPr>
      </w:pPr>
      <w:r>
        <w:rPr>
          <w:rFonts w:hint="eastAsia" w:ascii="黑体"/>
          <w:highlight w:val="none"/>
        </w:rPr>
        <w:t>202X</w:t>
      </w:r>
      <w:r>
        <w:rPr>
          <w:rFonts w:ascii="黑体"/>
          <w:highlight w:val="none"/>
        </w:rPr>
        <w:t xml:space="preserve"> -</w:t>
      </w:r>
      <w:r>
        <w:rPr>
          <w:rFonts w:hint="eastAsia" w:ascii="黑体"/>
          <w:highlight w:val="none"/>
        </w:rPr>
        <w:t>XX</w:t>
      </w:r>
      <w:r>
        <w:rPr>
          <w:rFonts w:ascii="黑体"/>
          <w:highlight w:val="none"/>
        </w:rPr>
        <w:t xml:space="preserve"> -</w:t>
      </w:r>
      <w:r>
        <w:rPr>
          <w:rFonts w:hint="eastAsia" w:ascii="黑体"/>
          <w:highlight w:val="none"/>
        </w:rPr>
        <w:t>XX</w:t>
      </w:r>
      <w:r>
        <w:rPr>
          <w:rFonts w:hint="eastAsia"/>
          <w:highlight w:val="none"/>
        </w:rPr>
        <w:t>发布</w:t>
      </w:r>
      <w:r>
        <w:rPr>
          <w:highlight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2338705</wp:posOffset>
                </wp:positionV>
                <wp:extent cx="6120130" cy="0"/>
                <wp:effectExtent l="0" t="0" r="0" b="0"/>
                <wp:wrapNone/>
                <wp:docPr id="1876520258" name="直接连接符 7"/>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7" o:spid="_x0000_s1026" o:spt="20" style="position:absolute;left:0pt;margin-left:0pt;margin-top:184.15pt;height:0pt;width:481.9pt;z-index:251660288;mso-width-relative:page;mso-height-relative:page;" filled="f" stroked="t" coordsize="21600,21600" o:gfxdata="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ZPSXN1QAAAAgBAAAPAAAA&#10;AAAAAAEAIAAAACIAAABkcnMvZG93bnJldi54bWxQSwECFAAUAAAACACHTuJAbK6FSt8BAACjAwAA&#10;DgAAAAAAAAABACAAAAAkAQAAZHJzL2Uyb0RvYy54bWxQSwUGAAAAAAYABgBZAQAAdQUAAAAA&#10;">
                <v:fill on="f" focussize="0,0"/>
                <v:stroke color="#000000" joinstyle="round"/>
                <v:imagedata o:title=""/>
                <o:lock v:ext="edit" aspectratio="f"/>
              </v:line>
            </w:pict>
          </mc:Fallback>
        </mc:AlternateContent>
      </w:r>
      <w:r>
        <w:rPr>
          <w:highlight w:val="none"/>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8891270</wp:posOffset>
                </wp:positionV>
                <wp:extent cx="6120130" cy="0"/>
                <wp:effectExtent l="0" t="0" r="0" b="0"/>
                <wp:wrapNone/>
                <wp:docPr id="628628715"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6" o:spid="_x0000_s1026" o:spt="20" style="position:absolute;left:0pt;margin-left:0pt;margin-top:700.1pt;height:0pt;width:481.9pt;z-index:251659264;mso-width-relative:page;mso-height-relative:page;" filled="f" stroked="t" coordsize="21600,21600" o:gfxdata="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edK78tUAAAAKAQAADwAAAAAA&#10;AAABACAAAAAiAAAAZHJzL2Rvd25yZXYueG1sUEsBAhQAFAAAAAgAh07iQGiDV67dAQAAogMAAA4A&#10;AAAAAAAAAQAgAAAAJAEAAGRycy9lMm9Eb2MueG1sUEsFBgAAAAAGAAYAWQEAAHMFAAAAAA==&#10;">
                <v:fill on="f" focussize="0,0"/>
                <v:stroke color="#000000" joinstyle="round"/>
                <v:imagedata o:title=""/>
                <o:lock v:ext="edit" aspectratio="f"/>
              </v:line>
            </w:pict>
          </mc:Fallback>
        </mc:AlternateContent>
      </w:r>
    </w:p>
    <w:p w14:paraId="22C449EB">
      <w:pPr>
        <w:pStyle w:val="132"/>
        <w:framePr w:wrap="around"/>
        <w:rPr>
          <w:highlight w:val="yellow"/>
        </w:rPr>
      </w:pPr>
      <w:r>
        <w:rPr>
          <w:rFonts w:hint="eastAsia" w:ascii="黑体"/>
          <w:highlight w:val="none"/>
        </w:rPr>
        <w:t>202X</w:t>
      </w:r>
      <w:r>
        <w:rPr>
          <w:highlight w:val="none"/>
        </w:rPr>
        <w:t xml:space="preserve"> </w:t>
      </w:r>
      <w:r>
        <w:rPr>
          <w:rFonts w:ascii="黑体"/>
          <w:highlight w:val="none"/>
        </w:rPr>
        <w:t xml:space="preserve">- </w:t>
      </w:r>
      <w:r>
        <w:rPr>
          <w:rFonts w:hint="eastAsia" w:ascii="黑体"/>
          <w:highlight w:val="none"/>
        </w:rPr>
        <w:t>XX</w:t>
      </w:r>
      <w:r>
        <w:rPr>
          <w:rFonts w:ascii="黑体"/>
          <w:highlight w:val="none"/>
        </w:rPr>
        <w:t xml:space="preserve"> - </w:t>
      </w:r>
      <w:r>
        <w:rPr>
          <w:rFonts w:hint="eastAsia" w:ascii="黑体"/>
          <w:highlight w:val="none"/>
        </w:rPr>
        <w:t>XX</w:t>
      </w:r>
      <w:r>
        <w:rPr>
          <w:rFonts w:hint="eastAsia"/>
          <w:highlight w:val="none"/>
        </w:rPr>
        <w:t>实施</w:t>
      </w:r>
    </w:p>
    <w:p w14:paraId="5F547ED5">
      <w:pPr>
        <w:pStyle w:val="112"/>
        <w:framePr w:wrap="around"/>
        <w:rPr>
          <w:highlight w:val="none"/>
        </w:rPr>
      </w:pPr>
      <w:r>
        <w:rPr>
          <w:rFonts w:hint="eastAsia"/>
          <w:highlight w:val="none"/>
        </w:rPr>
        <w:t>中国认证认可协会</w:t>
      </w:r>
      <w:r>
        <w:rPr>
          <w:highlight w:val="none"/>
        </w:rPr>
        <w:t xml:space="preserve"> </w:t>
      </w:r>
      <w:r>
        <w:rPr>
          <w:rStyle w:val="74"/>
          <w:highlight w:val="none"/>
        </w:rPr>
        <w:t xml:space="preserve"> </w:t>
      </w:r>
      <w:r>
        <w:rPr>
          <w:rStyle w:val="74"/>
          <w:rFonts w:hint="eastAsia"/>
          <w:highlight w:val="none"/>
        </w:rPr>
        <w:t>发布</w:t>
      </w:r>
    </w:p>
    <w:p w14:paraId="47928FA3">
      <w:pPr>
        <w:pStyle w:val="23"/>
        <w:ind w:firstLine="0" w:firstLineChars="0"/>
        <w:rPr>
          <w:highlight w:val="yellow"/>
        </w:rPr>
        <w:sectPr>
          <w:headerReference r:id="rId5" w:type="first"/>
          <w:footerReference r:id="rId7" w:type="first"/>
          <w:headerReference r:id="rId3" w:type="default"/>
          <w:headerReference r:id="rId4" w:type="even"/>
          <w:footerReference r:id="rId6" w:type="even"/>
          <w:pgSz w:w="11906" w:h="16838"/>
          <w:pgMar w:top="567" w:right="850" w:bottom="1134" w:left="1418" w:header="0" w:footer="0" w:gutter="0"/>
          <w:pgNumType w:fmt="upperRoman" w:start="1"/>
          <w:cols w:space="425" w:num="1"/>
          <w:docGrid w:type="lines" w:linePitch="312" w:charSpace="0"/>
        </w:sectPr>
      </w:pPr>
      <w:r>
        <w:rPr>
          <w:highlight w:val="yellow"/>
        </w:rPr>
        <mc:AlternateContent>
          <mc:Choice Requires="wps">
            <w:drawing>
              <wp:anchor distT="0" distB="0" distL="114300" distR="114300" simplePos="0" relativeHeight="251666432" behindDoc="1" locked="0" layoutInCell="1" allowOverlap="1">
                <wp:simplePos x="0" y="0"/>
                <wp:positionH relativeFrom="column">
                  <wp:posOffset>-66675</wp:posOffset>
                </wp:positionH>
                <wp:positionV relativeFrom="paragraph">
                  <wp:posOffset>396240</wp:posOffset>
                </wp:positionV>
                <wp:extent cx="866775" cy="198120"/>
                <wp:effectExtent l="0" t="0" r="0" b="0"/>
                <wp:wrapNone/>
                <wp:docPr id="8"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25400" cap="flat" cmpd="sng" algn="ctr">
                          <a:noFill/>
                          <a:prstDash val="solid"/>
                        </a:ln>
                        <a:effectLst/>
                      </wps:spPr>
                      <wps:txbx>
                        <w:txbxContent>
                          <w:p w14:paraId="294FA6B4">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BAH" o:spid="_x0000_s1026" o:spt="1" style="position:absolute;left:0pt;margin-left:-5.25pt;margin-top:31.2pt;height:15.6pt;width:68.25pt;z-index:-251650048;v-text-anchor:middle;mso-width-relative:page;mso-height-relative:page;" fillcolor="#FFFFFF" filled="t" stroked="f" coordsize="21600,21600" o:gfxdata="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Wm2xzV&#10;AAAACQEAAA8AAAAAAAAAAQAgAAAAIgAAAGRycy9kb3ducmV2LnhtbFBLAQIUABQAAAAIAIdO4kAs&#10;2cSyXAIAAMcEAAAOAAAAAAAAAAEAIAAAACQBAABkcnMvZTJvRG9jLnhtbFBLBQYAAAAABgAGAFkB&#10;AADyBQAAAAA=&#10;">
                <v:fill on="t" focussize="0,0"/>
                <v:stroke on="f" weight="2pt"/>
                <v:imagedata o:title=""/>
                <o:lock v:ext="edit" aspectratio="f"/>
                <v:textbox>
                  <w:txbxContent>
                    <w:p w14:paraId="294FA6B4">
                      <w:pPr>
                        <w:jc w:val="center"/>
                      </w:pPr>
                    </w:p>
                  </w:txbxContent>
                </v:textbox>
              </v:rect>
            </w:pict>
          </mc:Fallback>
        </mc:AlternateContent>
      </w:r>
      <w:r>
        <w:rPr>
          <w:highlight w:val="yellow"/>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2338705</wp:posOffset>
                </wp:positionV>
                <wp:extent cx="6120130" cy="0"/>
                <wp:effectExtent l="0" t="0" r="0" b="0"/>
                <wp:wrapNone/>
                <wp:docPr id="929165813"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5" o:spid="_x0000_s1026" o:spt="20" style="position:absolute;left:0pt;margin-left:0pt;margin-top:184.15pt;height:0pt;width:481.9pt;z-index:251662336;mso-width-relative:page;mso-height-relative:page;" filled="f" stroked="t" coordsize="21600,21600" o:gfxdata="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k9Jc3VAAAACAEAAA8AAAAA&#10;AAAAAQAgAAAAIgAAAGRycy9kb3ducmV2LnhtbFBLAQIUABQAAAAIAIdO4kA4odAE3gEAAKIDAAAO&#10;AAAAAAAAAAEAIAAAACQBAABkcnMvZTJvRG9jLnhtbFBLBQYAAAAABgAGAFkBAAB0BQAAAAA=&#10;">
                <v:fill on="f" focussize="0,0"/>
                <v:stroke color="#000000" joinstyle="round"/>
                <v:imagedata o:title=""/>
                <o:lock v:ext="edit" aspectratio="f"/>
              </v:line>
            </w:pict>
          </mc:Fallback>
        </mc:AlternateContent>
      </w:r>
      <w:r>
        <w:rPr>
          <w:highlight w:val="yellow"/>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8891270</wp:posOffset>
                </wp:positionV>
                <wp:extent cx="6120130" cy="0"/>
                <wp:effectExtent l="0" t="0" r="0" b="0"/>
                <wp:wrapNone/>
                <wp:docPr id="1376807488" name="直接连接符 4"/>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4" o:spid="_x0000_s1026" o:spt="20" style="position:absolute;left:0pt;margin-left:0pt;margin-top:700.1pt;height:0pt;width:481.9pt;z-index:251661312;mso-width-relative:page;mso-height-relative:page;" filled="f" stroked="t" coordsize="21600,21600" o:gfxdata="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50rvy1QAAAAoBAAAPAAAA&#10;AAAAAAEAIAAAACIAAABkcnMvZG93bnJldi54bWxQSwECFAAUAAAACACHTuJAbnkn5N8BAACjAwAA&#10;DgAAAAAAAAABACAAAAAkAQAAZHJzL2Uyb0RvYy54bWxQSwUGAAAAAAYABgBZAQAAdQUAAAAA&#10;">
                <v:fill on="f" focussize="0,0"/>
                <v:stroke color="#000000" joinstyle="round"/>
                <v:imagedata o:title=""/>
                <o:lock v:ext="edit" aspectratio="f"/>
              </v:line>
            </w:pict>
          </mc:Fallback>
        </mc:AlternateContent>
      </w:r>
    </w:p>
    <w:p w14:paraId="5C9D4D62">
      <w:pPr>
        <w:rPr>
          <w:rFonts w:eastAsia="黑体"/>
          <w:sz w:val="32"/>
          <w:szCs w:val="32"/>
          <w:highlight w:val="yellow"/>
        </w:rPr>
        <w:sectPr>
          <w:headerReference r:id="rId10" w:type="first"/>
          <w:headerReference r:id="rId8" w:type="default"/>
          <w:footerReference r:id="rId11" w:type="default"/>
          <w:headerReference r:id="rId9" w:type="even"/>
          <w:footerReference r:id="rId12" w:type="even"/>
          <w:pgSz w:w="11906" w:h="16838"/>
          <w:pgMar w:top="567" w:right="1134" w:bottom="1134" w:left="1418" w:header="1418" w:footer="1134" w:gutter="0"/>
          <w:pgNumType w:fmt="upperRoman" w:start="1"/>
          <w:cols w:space="425" w:num="1"/>
          <w:formProt w:val="0"/>
          <w:docGrid w:type="lines" w:linePitch="312" w:charSpace="0"/>
        </w:sectPr>
      </w:pPr>
      <w:bookmarkStart w:id="0" w:name="_Toc7167"/>
      <w:bookmarkStart w:id="1" w:name="_Toc27836"/>
      <w:bookmarkStart w:id="2" w:name="_Toc383701993"/>
      <w:bookmarkStart w:id="3" w:name="_Toc383701492"/>
      <w:bookmarkStart w:id="4" w:name="_Toc468692981"/>
      <w:bookmarkStart w:id="5" w:name="_Toc52288514"/>
      <w:bookmarkStart w:id="6" w:name="_Toc44414101"/>
    </w:p>
    <w:p w14:paraId="19AE9B65">
      <w:pPr>
        <w:jc w:val="center"/>
        <w:rPr>
          <w:rFonts w:eastAsia="黑体"/>
          <w:sz w:val="32"/>
          <w:szCs w:val="32"/>
          <w:highlight w:val="yellow"/>
        </w:rPr>
      </w:pPr>
    </w:p>
    <w:p w14:paraId="5A8C2FA8">
      <w:pPr>
        <w:jc w:val="center"/>
        <w:outlineLvl w:val="0"/>
        <w:rPr>
          <w:rFonts w:eastAsia="黑体"/>
          <w:sz w:val="32"/>
          <w:szCs w:val="32"/>
          <w:highlight w:val="none"/>
        </w:rPr>
      </w:pPr>
      <w:bookmarkStart w:id="7" w:name="_Toc26413"/>
      <w:bookmarkStart w:id="8" w:name="_Toc15038"/>
      <w:bookmarkStart w:id="9" w:name="_Toc11517"/>
      <w:r>
        <w:rPr>
          <w:rFonts w:eastAsia="黑体"/>
          <w:sz w:val="32"/>
          <w:szCs w:val="32"/>
          <w:highlight w:val="none"/>
        </w:rPr>
        <w:t>目    次</w:t>
      </w:r>
      <w:bookmarkEnd w:id="0"/>
      <w:bookmarkEnd w:id="1"/>
      <w:bookmarkEnd w:id="2"/>
      <w:bookmarkEnd w:id="3"/>
      <w:bookmarkEnd w:id="4"/>
      <w:bookmarkEnd w:id="7"/>
      <w:bookmarkEnd w:id="8"/>
      <w:bookmarkEnd w:id="9"/>
    </w:p>
    <w:bookmarkEnd w:id="5"/>
    <w:bookmarkEnd w:id="6"/>
    <w:sdt>
      <w:sdtPr>
        <w:rPr>
          <w:rFonts w:ascii="宋体" w:hAnsi="宋体"/>
          <w:kern w:val="0"/>
          <w:szCs w:val="20"/>
          <w:highlight w:val="yellow"/>
        </w:rPr>
        <w:id w:val="147475240"/>
        <w:docPartObj>
          <w:docPartGallery w:val="Table of Contents"/>
          <w:docPartUnique/>
        </w:docPartObj>
      </w:sdtPr>
      <w:sdtEndPr>
        <w:rPr>
          <w:rFonts w:ascii="宋体" w:hAnsi="Times New Roman"/>
          <w:b/>
          <w:kern w:val="2"/>
          <w:szCs w:val="21"/>
          <w:highlight w:val="yellow"/>
        </w:rPr>
      </w:sdtEndPr>
      <w:sdtContent>
        <w:p w14:paraId="4F0D2230">
          <w:pPr>
            <w:jc w:val="center"/>
            <w:rPr>
              <w:rFonts w:hint="eastAsia" w:ascii="宋体" w:hAnsi="宋体"/>
              <w:highlight w:val="yellow"/>
            </w:rPr>
          </w:pPr>
        </w:p>
        <w:p w14:paraId="45E56354">
          <w:pPr>
            <w:jc w:val="center"/>
            <w:rPr>
              <w:rFonts w:hint="eastAsia" w:ascii="宋体" w:hAnsi="宋体"/>
              <w:highlight w:val="yellow"/>
            </w:rPr>
          </w:pPr>
        </w:p>
        <w:p w14:paraId="5E35D4FB">
          <w:pPr>
            <w:pStyle w:val="19"/>
            <w:tabs>
              <w:tab w:val="right" w:leader="dot" w:pos="9354"/>
              <w:tab w:val="clear" w:pos="9241"/>
            </w:tabs>
            <w:rPr>
              <w:rFonts w:hint="default" w:ascii="Times New Roman" w:hAnsi="Times New Roman" w:cs="Times New Roman"/>
            </w:rPr>
          </w:pPr>
          <w:r>
            <w:rPr>
              <w:rStyle w:val="39"/>
              <w:rFonts w:hint="eastAsia"/>
              <w:highlight w:val="yellow"/>
            </w:rPr>
            <w:fldChar w:fldCharType="begin"/>
          </w:r>
          <w:r>
            <w:rPr>
              <w:rStyle w:val="39"/>
              <w:rFonts w:hint="eastAsia"/>
              <w:highlight w:val="yellow"/>
            </w:rPr>
            <w:instrText xml:space="preserve">TOC \o "1-2" \h \u </w:instrText>
          </w:r>
          <w:r>
            <w:rPr>
              <w:rStyle w:val="39"/>
              <w:rFonts w:hint="eastAsia"/>
              <w:highlight w:val="yellow"/>
            </w:rPr>
            <w:fldChar w:fldCharType="separate"/>
          </w: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_Toc31912 </w:instrText>
          </w:r>
          <w:r>
            <w:rPr>
              <w:rFonts w:hint="default" w:ascii="Times New Roman" w:hAnsi="Times New Roman" w:cs="Times New Roman"/>
              <w:highlight w:val="yellow"/>
            </w:rPr>
            <w:fldChar w:fldCharType="separate"/>
          </w:r>
          <w:r>
            <w:rPr>
              <w:rFonts w:hint="default" w:ascii="Times New Roman" w:hAnsi="Times New Roman" w:eastAsia="黑体" w:cs="Times New Roman"/>
              <w:szCs w:val="32"/>
              <w:highlight w:val="none"/>
            </w:rPr>
            <w:t>前    言</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_Toc31912 \h </w:instrText>
          </w:r>
          <w:r>
            <w:rPr>
              <w:rFonts w:hint="default" w:ascii="Times New Roman" w:hAnsi="Times New Roman" w:cs="Times New Roman"/>
            </w:rPr>
            <w:fldChar w:fldCharType="separate"/>
          </w:r>
          <w:r>
            <w:rPr>
              <w:rFonts w:hint="default" w:ascii="Times New Roman" w:hAnsi="Times New Roman" w:cs="Times New Roman"/>
            </w:rPr>
            <w:t>II</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23C37DF5">
          <w:pPr>
            <w:pStyle w:val="19"/>
            <w:tabs>
              <w:tab w:val="right" w:leader="dot" w:pos="9354"/>
              <w:tab w:val="clear" w:pos="9241"/>
            </w:tabs>
            <w:rPr>
              <w:rFonts w:hint="default" w:ascii="Times New Roman" w:hAnsi="Times New Roman" w:cs="Times New Roman"/>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_Toc59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rPr>
            <w:t xml:space="preserve">1 </w:t>
          </w:r>
          <w:r>
            <w:rPr>
              <w:rFonts w:hint="default" w:ascii="Times New Roman" w:hAnsi="Times New Roman" w:cs="Times New Roman"/>
              <w:highlight w:val="none"/>
            </w:rPr>
            <w:t>范围</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_Toc59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52D607FC">
          <w:pPr>
            <w:pStyle w:val="19"/>
            <w:tabs>
              <w:tab w:val="right" w:leader="dot" w:pos="9354"/>
              <w:tab w:val="clear" w:pos="9241"/>
            </w:tabs>
            <w:rPr>
              <w:rFonts w:hint="default" w:ascii="Times New Roman" w:hAnsi="Times New Roman" w:cs="Times New Roman"/>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_Toc19586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rPr>
            <w:t xml:space="preserve">2 </w:t>
          </w:r>
          <w:r>
            <w:rPr>
              <w:rFonts w:hint="default" w:ascii="Times New Roman" w:hAnsi="Times New Roman" w:cs="Times New Roman"/>
              <w:highlight w:val="none"/>
            </w:rPr>
            <w:t>规范性引用文件</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_Toc19586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30ED709C">
          <w:pPr>
            <w:pStyle w:val="19"/>
            <w:tabs>
              <w:tab w:val="right" w:leader="dot" w:pos="9354"/>
              <w:tab w:val="clear" w:pos="9241"/>
            </w:tabs>
            <w:rPr>
              <w:rFonts w:hint="default" w:ascii="Times New Roman" w:hAnsi="Times New Roman" w:cs="Times New Roman"/>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_Toc2523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rPr>
            <w:t xml:space="preserve">3 </w:t>
          </w:r>
          <w:r>
            <w:rPr>
              <w:rFonts w:hint="default" w:ascii="Times New Roman" w:hAnsi="Times New Roman" w:cs="Times New Roman"/>
              <w:highlight w:val="none"/>
            </w:rPr>
            <w:t>术语和定义</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_Toc2523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69D4DCF2">
          <w:pPr>
            <w:pStyle w:val="19"/>
            <w:tabs>
              <w:tab w:val="right" w:leader="dot" w:pos="9354"/>
              <w:tab w:val="clear" w:pos="9241"/>
            </w:tabs>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rPr>
            <w:t xml:space="preserve">4 </w:t>
          </w:r>
          <w:r>
            <w:rPr>
              <w:rFonts w:hint="default" w:ascii="Times New Roman" w:hAnsi="Times New Roman" w:cs="Times New Roman"/>
              <w:highlight w:val="none"/>
            </w:rPr>
            <w:t>组织所处的环境</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_Toc13745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64B0FF3D">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rPr>
            <w:t>4</w:t>
          </w:r>
          <w:r>
            <w:rPr>
              <w:rFonts w:hint="eastAsia" w:ascii="Times New Roman" w:eastAsia="黑体" w:cs="Times New Roman"/>
              <w:i w:val="0"/>
              <w:szCs w:val="21"/>
              <w:lang w:val="en-US" w:eastAsia="zh-CN"/>
            </w:rPr>
            <w:t>.1</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理解组织及其环境</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_Toc13745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12DE2AB7">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rPr>
            <w:t>4</w:t>
          </w:r>
          <w:r>
            <w:rPr>
              <w:rFonts w:hint="eastAsia" w:ascii="Times New Roman" w:eastAsia="黑体" w:cs="Times New Roman"/>
              <w:i w:val="0"/>
              <w:szCs w:val="21"/>
              <w:lang w:val="en-US" w:eastAsia="zh-CN"/>
            </w:rPr>
            <w:t>.2</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理解相关方的需求和期望</w:t>
          </w:r>
          <w:r>
            <w:rPr>
              <w:rFonts w:hint="default" w:ascii="Times New Roman" w:hAnsi="Times New Roman" w:cs="Times New Roman"/>
            </w:rPr>
            <w:tab/>
          </w:r>
          <w:r>
            <w:rPr>
              <w:rFonts w:hint="eastAsia" w:ascii="Times New Roman" w:cs="Times New Roman"/>
              <w:lang w:val="en-US" w:eastAsia="zh-CN"/>
            </w:rPr>
            <w:t>2</w:t>
          </w:r>
          <w:r>
            <w:rPr>
              <w:rFonts w:hint="default" w:ascii="Times New Roman" w:hAnsi="Times New Roman" w:cs="Times New Roman"/>
              <w:highlight w:val="yellow"/>
            </w:rPr>
            <w:fldChar w:fldCharType="end"/>
          </w:r>
        </w:p>
        <w:p w14:paraId="149BD5D5">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rPr>
            <w:t>4</w:t>
          </w:r>
          <w:r>
            <w:rPr>
              <w:rFonts w:hint="eastAsia" w:ascii="Times New Roman" w:eastAsia="黑体" w:cs="Times New Roman"/>
              <w:i w:val="0"/>
              <w:szCs w:val="21"/>
              <w:lang w:val="en-US" w:eastAsia="zh-CN"/>
            </w:rPr>
            <w:t>.3</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确定碳管理体系的范围</w:t>
          </w:r>
          <w:r>
            <w:rPr>
              <w:rFonts w:hint="default" w:ascii="Times New Roman" w:hAnsi="Times New Roman" w:cs="Times New Roman"/>
            </w:rPr>
            <w:tab/>
          </w:r>
          <w:r>
            <w:rPr>
              <w:rFonts w:hint="eastAsia" w:ascii="Times New Roman" w:cs="Times New Roman"/>
              <w:lang w:val="en-US" w:eastAsia="zh-CN"/>
            </w:rPr>
            <w:t>2</w:t>
          </w:r>
          <w:r>
            <w:rPr>
              <w:rFonts w:hint="default" w:ascii="Times New Roman" w:hAnsi="Times New Roman" w:cs="Times New Roman"/>
              <w:highlight w:val="yellow"/>
            </w:rPr>
            <w:fldChar w:fldCharType="end"/>
          </w:r>
        </w:p>
        <w:p w14:paraId="3CC9A9FC">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rPr>
            <w:t>4</w:t>
          </w:r>
          <w:r>
            <w:rPr>
              <w:rFonts w:hint="eastAsia" w:ascii="Times New Roman" w:eastAsia="黑体" w:cs="Times New Roman"/>
              <w:i w:val="0"/>
              <w:szCs w:val="21"/>
              <w:lang w:val="en-US" w:eastAsia="zh-CN"/>
            </w:rPr>
            <w:t>.4</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碳管理体系</w:t>
          </w:r>
          <w:r>
            <w:rPr>
              <w:rFonts w:hint="default" w:ascii="Times New Roman" w:hAnsi="Times New Roman" w:cs="Times New Roman"/>
            </w:rPr>
            <w:tab/>
          </w:r>
          <w:r>
            <w:rPr>
              <w:rFonts w:hint="eastAsia" w:ascii="Times New Roman" w:cs="Times New Roman"/>
              <w:lang w:val="en-US" w:eastAsia="zh-CN"/>
            </w:rPr>
            <w:t>3</w:t>
          </w:r>
          <w:r>
            <w:rPr>
              <w:rFonts w:hint="default" w:ascii="Times New Roman" w:hAnsi="Times New Roman" w:cs="Times New Roman"/>
              <w:highlight w:val="yellow"/>
            </w:rPr>
            <w:fldChar w:fldCharType="end"/>
          </w:r>
        </w:p>
        <w:p w14:paraId="7F518D93">
          <w:pPr>
            <w:pStyle w:val="28"/>
            <w:tabs>
              <w:tab w:val="right" w:leader="dot" w:pos="9354"/>
              <w:tab w:val="clear" w:pos="9241"/>
            </w:tabs>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_Toc26430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lang w:val="en-US" w:eastAsia="zh-CN"/>
            </w:rPr>
            <w:t xml:space="preserve">5 </w:t>
          </w:r>
          <w:r>
            <w:rPr>
              <w:rFonts w:hint="default" w:ascii="Times New Roman" w:hAnsi="Times New Roman" w:cs="Times New Roman"/>
              <w:highlight w:val="none"/>
              <w:lang w:val="en-US" w:eastAsia="zh-CN"/>
            </w:rPr>
            <w:t>领导作用</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_Toc26430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1863F337">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5.1</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领导作用和承诺</w:t>
          </w:r>
          <w:r>
            <w:rPr>
              <w:rFonts w:hint="default" w:ascii="Times New Roman" w:hAnsi="Times New Roman" w:cs="Times New Roman"/>
            </w:rPr>
            <w:tab/>
          </w:r>
          <w:r>
            <w:rPr>
              <w:rFonts w:hint="eastAsia" w:ascii="Times New Roman" w:cs="Times New Roman"/>
              <w:lang w:val="en-US" w:eastAsia="zh-CN"/>
            </w:rPr>
            <w:t>3</w:t>
          </w:r>
          <w:r>
            <w:rPr>
              <w:rFonts w:hint="default" w:ascii="Times New Roman" w:hAnsi="Times New Roman" w:cs="Times New Roman"/>
              <w:highlight w:val="yellow"/>
            </w:rPr>
            <w:fldChar w:fldCharType="end"/>
          </w:r>
        </w:p>
        <w:p w14:paraId="7A4D52C3">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5.2</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碳方针</w:t>
          </w:r>
          <w:r>
            <w:rPr>
              <w:rFonts w:hint="default" w:ascii="Times New Roman" w:hAnsi="Times New Roman" w:cs="Times New Roman"/>
            </w:rPr>
            <w:tab/>
          </w:r>
          <w:r>
            <w:rPr>
              <w:rFonts w:hint="eastAsia" w:ascii="Times New Roman" w:cs="Times New Roman"/>
              <w:lang w:val="en-US" w:eastAsia="zh-CN"/>
            </w:rPr>
            <w:t>3</w:t>
          </w:r>
          <w:r>
            <w:rPr>
              <w:rFonts w:hint="default" w:ascii="Times New Roman" w:hAnsi="Times New Roman" w:cs="Times New Roman"/>
              <w:highlight w:val="yellow"/>
            </w:rPr>
            <w:fldChar w:fldCharType="end"/>
          </w:r>
        </w:p>
        <w:p w14:paraId="625FE4CD">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5.3</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组织的岗位、职责和权限</w:t>
          </w:r>
          <w:r>
            <w:rPr>
              <w:rFonts w:hint="default" w:ascii="Times New Roman" w:hAnsi="Times New Roman" w:cs="Times New Roman"/>
            </w:rPr>
            <w:tab/>
          </w:r>
          <w:r>
            <w:rPr>
              <w:rFonts w:hint="eastAsia" w:ascii="Times New Roman" w:cs="Times New Roman"/>
              <w:lang w:val="en-US" w:eastAsia="zh-CN"/>
            </w:rPr>
            <w:t>4</w:t>
          </w:r>
          <w:r>
            <w:rPr>
              <w:rFonts w:hint="default" w:ascii="Times New Roman" w:hAnsi="Times New Roman" w:cs="Times New Roman"/>
              <w:highlight w:val="yellow"/>
            </w:rPr>
            <w:fldChar w:fldCharType="end"/>
          </w:r>
        </w:p>
        <w:p w14:paraId="19724292">
          <w:pPr>
            <w:pStyle w:val="28"/>
            <w:tabs>
              <w:tab w:val="right" w:leader="dot" w:pos="9354"/>
              <w:tab w:val="clear" w:pos="9241"/>
            </w:tabs>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_Toc20828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lang w:val="en-US" w:eastAsia="zh-CN"/>
            </w:rPr>
            <w:t xml:space="preserve">6 </w:t>
          </w:r>
          <w:r>
            <w:rPr>
              <w:rFonts w:hint="default" w:ascii="Times New Roman" w:hAnsi="Times New Roman" w:cs="Times New Roman"/>
              <w:highlight w:val="none"/>
              <w:lang w:val="en-US" w:eastAsia="zh-CN"/>
            </w:rPr>
            <w:t>策划</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_Toc20828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5E82CEA3">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6.1</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应对风险和机遇的措施</w:t>
          </w:r>
          <w:r>
            <w:rPr>
              <w:rFonts w:hint="default" w:ascii="Times New Roman" w:hAnsi="Times New Roman" w:cs="Times New Roman"/>
            </w:rPr>
            <w:tab/>
          </w:r>
          <w:r>
            <w:rPr>
              <w:rFonts w:hint="eastAsia" w:ascii="Times New Roman" w:cs="Times New Roman"/>
              <w:lang w:val="en-US" w:eastAsia="zh-CN"/>
            </w:rPr>
            <w:t>4</w:t>
          </w:r>
          <w:r>
            <w:rPr>
              <w:rFonts w:hint="default" w:ascii="Times New Roman" w:hAnsi="Times New Roman" w:cs="Times New Roman"/>
              <w:highlight w:val="yellow"/>
            </w:rPr>
            <w:fldChar w:fldCharType="end"/>
          </w:r>
        </w:p>
        <w:p w14:paraId="6FF7B7CB">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6.2</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碳目标、指标及其实现的策划</w:t>
          </w:r>
          <w:r>
            <w:rPr>
              <w:rFonts w:hint="default" w:ascii="Times New Roman" w:hAnsi="Times New Roman" w:cs="Times New Roman"/>
            </w:rPr>
            <w:tab/>
          </w:r>
          <w:r>
            <w:rPr>
              <w:rFonts w:hint="eastAsia" w:ascii="Times New Roman" w:cs="Times New Roman"/>
              <w:lang w:val="en-US" w:eastAsia="zh-CN"/>
            </w:rPr>
            <w:t>6</w:t>
          </w:r>
          <w:r>
            <w:rPr>
              <w:rFonts w:hint="default" w:ascii="Times New Roman" w:hAnsi="Times New Roman" w:cs="Times New Roman"/>
              <w:highlight w:val="yellow"/>
            </w:rPr>
            <w:fldChar w:fldCharType="end"/>
          </w:r>
        </w:p>
        <w:p w14:paraId="6802C82A">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6.3</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变更的策划</w:t>
          </w:r>
          <w:r>
            <w:rPr>
              <w:rFonts w:hint="default" w:ascii="Times New Roman" w:hAnsi="Times New Roman" w:cs="Times New Roman"/>
            </w:rPr>
            <w:tab/>
          </w:r>
          <w:r>
            <w:rPr>
              <w:rFonts w:hint="eastAsia" w:ascii="Times New Roman" w:cs="Times New Roman"/>
              <w:lang w:val="en-US" w:eastAsia="zh-CN"/>
            </w:rPr>
            <w:t>6</w:t>
          </w:r>
          <w:r>
            <w:rPr>
              <w:rFonts w:hint="default" w:ascii="Times New Roman" w:hAnsi="Times New Roman" w:cs="Times New Roman"/>
              <w:highlight w:val="yellow"/>
            </w:rPr>
            <w:fldChar w:fldCharType="end"/>
          </w:r>
        </w:p>
        <w:p w14:paraId="3BA9F76C">
          <w:pPr>
            <w:pStyle w:val="28"/>
            <w:tabs>
              <w:tab w:val="right" w:leader="dot" w:pos="9354"/>
              <w:tab w:val="clear" w:pos="9241"/>
            </w:tabs>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_Toc31973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lang w:val="en-US" w:eastAsia="zh-CN"/>
            </w:rPr>
            <w:t xml:space="preserve">7 </w:t>
          </w:r>
          <w:r>
            <w:rPr>
              <w:rFonts w:hint="default" w:ascii="Times New Roman" w:hAnsi="Times New Roman" w:cs="Times New Roman"/>
              <w:highlight w:val="none"/>
              <w:lang w:val="en-US" w:eastAsia="zh-CN"/>
            </w:rPr>
            <w:t>支持</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_Toc31973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3D816722">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7.1</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资源</w:t>
          </w:r>
          <w:r>
            <w:rPr>
              <w:rFonts w:hint="default" w:ascii="Times New Roman" w:hAnsi="Times New Roman" w:cs="Times New Roman"/>
            </w:rPr>
            <w:tab/>
          </w:r>
          <w:r>
            <w:rPr>
              <w:rFonts w:hint="eastAsia" w:ascii="Times New Roman" w:cs="Times New Roman"/>
              <w:lang w:val="en-US" w:eastAsia="zh-CN"/>
            </w:rPr>
            <w:t>7</w:t>
          </w:r>
          <w:r>
            <w:rPr>
              <w:rFonts w:hint="default" w:ascii="Times New Roman" w:hAnsi="Times New Roman" w:cs="Times New Roman"/>
              <w:highlight w:val="yellow"/>
            </w:rPr>
            <w:fldChar w:fldCharType="end"/>
          </w:r>
        </w:p>
        <w:p w14:paraId="7542B86F">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7.2</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能力</w:t>
          </w:r>
          <w:r>
            <w:rPr>
              <w:rFonts w:hint="default" w:ascii="Times New Roman" w:hAnsi="Times New Roman" w:cs="Times New Roman"/>
            </w:rPr>
            <w:tab/>
          </w:r>
          <w:r>
            <w:rPr>
              <w:rFonts w:hint="eastAsia" w:ascii="Times New Roman" w:cs="Times New Roman"/>
              <w:lang w:val="en-US" w:eastAsia="zh-CN"/>
            </w:rPr>
            <w:t>7</w:t>
          </w:r>
          <w:r>
            <w:rPr>
              <w:rFonts w:hint="default" w:ascii="Times New Roman" w:hAnsi="Times New Roman" w:cs="Times New Roman"/>
              <w:highlight w:val="yellow"/>
            </w:rPr>
            <w:fldChar w:fldCharType="end"/>
          </w:r>
        </w:p>
        <w:p w14:paraId="31598A4B">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7.3</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意识</w:t>
          </w:r>
          <w:r>
            <w:rPr>
              <w:rFonts w:hint="default" w:ascii="Times New Roman" w:hAnsi="Times New Roman" w:cs="Times New Roman"/>
            </w:rPr>
            <w:tab/>
          </w:r>
          <w:r>
            <w:rPr>
              <w:rFonts w:hint="eastAsia" w:ascii="Times New Roman" w:cs="Times New Roman"/>
              <w:lang w:val="en-US" w:eastAsia="zh-CN"/>
            </w:rPr>
            <w:t>7</w:t>
          </w:r>
          <w:r>
            <w:rPr>
              <w:rFonts w:hint="default" w:ascii="Times New Roman" w:hAnsi="Times New Roman" w:cs="Times New Roman"/>
              <w:highlight w:val="yellow"/>
            </w:rPr>
            <w:fldChar w:fldCharType="end"/>
          </w:r>
        </w:p>
        <w:p w14:paraId="3A12295E">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7.4</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信息交流</w:t>
          </w:r>
          <w:r>
            <w:rPr>
              <w:rFonts w:hint="default" w:ascii="Times New Roman" w:hAnsi="Times New Roman" w:cs="Times New Roman"/>
            </w:rPr>
            <w:tab/>
          </w:r>
          <w:r>
            <w:rPr>
              <w:rFonts w:hint="eastAsia" w:ascii="Times New Roman" w:cs="Times New Roman"/>
              <w:lang w:val="en-US" w:eastAsia="zh-CN"/>
            </w:rPr>
            <w:t>7</w:t>
          </w:r>
          <w:r>
            <w:rPr>
              <w:rFonts w:hint="default" w:ascii="Times New Roman" w:hAnsi="Times New Roman" w:cs="Times New Roman"/>
              <w:highlight w:val="yellow"/>
            </w:rPr>
            <w:fldChar w:fldCharType="end"/>
          </w:r>
        </w:p>
        <w:p w14:paraId="288697B0">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7.5</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文件化信息</w:t>
          </w:r>
          <w:r>
            <w:rPr>
              <w:rFonts w:hint="default" w:ascii="Times New Roman" w:hAnsi="Times New Roman" w:cs="Times New Roman"/>
            </w:rPr>
            <w:tab/>
          </w:r>
          <w:r>
            <w:rPr>
              <w:rFonts w:hint="eastAsia" w:ascii="Times New Roman" w:cs="Times New Roman"/>
              <w:lang w:val="en-US" w:eastAsia="zh-CN"/>
            </w:rPr>
            <w:t>8</w:t>
          </w:r>
          <w:r>
            <w:rPr>
              <w:rFonts w:hint="default" w:ascii="Times New Roman" w:hAnsi="Times New Roman" w:cs="Times New Roman"/>
              <w:highlight w:val="yellow"/>
            </w:rPr>
            <w:fldChar w:fldCharType="end"/>
          </w:r>
        </w:p>
        <w:p w14:paraId="0EAA91DA">
          <w:pPr>
            <w:pStyle w:val="28"/>
            <w:tabs>
              <w:tab w:val="right" w:leader="dot" w:pos="9354"/>
              <w:tab w:val="clear" w:pos="9241"/>
            </w:tabs>
            <w:rPr>
              <w:rFonts w:hint="default" w:ascii="Times New Roman" w:hAnsi="Times New Roman" w:cs="Times New Roman"/>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_Toc18957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lang w:val="en-US" w:eastAsia="zh-CN"/>
            </w:rPr>
            <w:t xml:space="preserve">8 </w:t>
          </w:r>
          <w:r>
            <w:rPr>
              <w:rFonts w:hint="default" w:ascii="Times New Roman" w:hAnsi="Times New Roman" w:cs="Times New Roman"/>
              <w:highlight w:val="none"/>
              <w:lang w:val="en-US" w:eastAsia="zh-CN"/>
            </w:rPr>
            <w:t>运行</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_Toc18957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2BB57E73">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8.1</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总则</w:t>
          </w:r>
          <w:r>
            <w:rPr>
              <w:rFonts w:hint="default" w:ascii="Times New Roman" w:hAnsi="Times New Roman" w:cs="Times New Roman"/>
            </w:rPr>
            <w:tab/>
          </w:r>
          <w:r>
            <w:rPr>
              <w:rFonts w:hint="eastAsia" w:ascii="Times New Roman" w:cs="Times New Roman"/>
              <w:lang w:val="en-US" w:eastAsia="zh-CN"/>
            </w:rPr>
            <w:t>9</w:t>
          </w:r>
          <w:r>
            <w:rPr>
              <w:rFonts w:hint="default" w:ascii="Times New Roman" w:hAnsi="Times New Roman" w:cs="Times New Roman"/>
              <w:highlight w:val="yellow"/>
            </w:rPr>
            <w:fldChar w:fldCharType="end"/>
          </w:r>
        </w:p>
        <w:p w14:paraId="6A145545">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8.2</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设计控制</w:t>
          </w:r>
          <w:r>
            <w:rPr>
              <w:rFonts w:hint="default" w:ascii="Times New Roman" w:hAnsi="Times New Roman" w:cs="Times New Roman"/>
            </w:rPr>
            <w:tab/>
          </w:r>
          <w:r>
            <w:rPr>
              <w:rFonts w:hint="eastAsia" w:ascii="Times New Roman" w:cs="Times New Roman"/>
              <w:lang w:val="en-US" w:eastAsia="zh-CN"/>
            </w:rPr>
            <w:t>9</w:t>
          </w:r>
          <w:r>
            <w:rPr>
              <w:rFonts w:hint="default" w:ascii="Times New Roman" w:hAnsi="Times New Roman" w:cs="Times New Roman"/>
              <w:highlight w:val="yellow"/>
            </w:rPr>
            <w:fldChar w:fldCharType="end"/>
          </w:r>
        </w:p>
        <w:p w14:paraId="7054850F">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8.3</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采购控制</w:t>
          </w:r>
          <w:r>
            <w:rPr>
              <w:rFonts w:hint="default" w:ascii="Times New Roman" w:hAnsi="Times New Roman" w:cs="Times New Roman"/>
            </w:rPr>
            <w:tab/>
          </w:r>
          <w:r>
            <w:rPr>
              <w:rFonts w:hint="eastAsia" w:ascii="Times New Roman" w:cs="Times New Roman"/>
              <w:lang w:val="en-US" w:eastAsia="zh-CN"/>
            </w:rPr>
            <w:t>9</w:t>
          </w:r>
          <w:r>
            <w:rPr>
              <w:rFonts w:hint="default" w:ascii="Times New Roman" w:hAnsi="Times New Roman" w:cs="Times New Roman"/>
              <w:highlight w:val="yellow"/>
            </w:rPr>
            <w:fldChar w:fldCharType="end"/>
          </w:r>
        </w:p>
        <w:p w14:paraId="62E7530F">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8.4</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生产过程控制</w:t>
          </w:r>
          <w:r>
            <w:rPr>
              <w:rFonts w:hint="default" w:ascii="Times New Roman" w:hAnsi="Times New Roman" w:cs="Times New Roman"/>
            </w:rPr>
            <w:tab/>
          </w:r>
          <w:r>
            <w:rPr>
              <w:rFonts w:hint="eastAsia" w:ascii="Times New Roman" w:cs="Times New Roman"/>
              <w:lang w:val="en-US" w:eastAsia="zh-CN"/>
            </w:rPr>
            <w:t>10</w:t>
          </w:r>
          <w:r>
            <w:rPr>
              <w:rFonts w:hint="default" w:ascii="Times New Roman" w:hAnsi="Times New Roman" w:cs="Times New Roman"/>
              <w:highlight w:val="yellow"/>
            </w:rPr>
            <w:fldChar w:fldCharType="end"/>
          </w:r>
        </w:p>
        <w:p w14:paraId="53B1E39F">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8.5</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产品使用与回收</w:t>
          </w:r>
          <w:r>
            <w:rPr>
              <w:rFonts w:hint="default" w:ascii="Times New Roman" w:hAnsi="Times New Roman" w:cs="Times New Roman"/>
            </w:rPr>
            <w:tab/>
          </w:r>
          <w:r>
            <w:rPr>
              <w:rFonts w:hint="eastAsia" w:ascii="Times New Roman" w:cs="Times New Roman"/>
              <w:lang w:val="en-US" w:eastAsia="zh-CN"/>
            </w:rPr>
            <w:t>10</w:t>
          </w:r>
          <w:r>
            <w:rPr>
              <w:rFonts w:hint="default" w:ascii="Times New Roman" w:hAnsi="Times New Roman" w:cs="Times New Roman"/>
              <w:highlight w:val="yellow"/>
            </w:rPr>
            <w:fldChar w:fldCharType="end"/>
          </w:r>
        </w:p>
        <w:p w14:paraId="36E3EAEF">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8.6</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运行控制</w:t>
          </w:r>
          <w:r>
            <w:rPr>
              <w:rFonts w:hint="default" w:ascii="Times New Roman" w:hAnsi="Times New Roman" w:cs="Times New Roman"/>
            </w:rPr>
            <w:tab/>
          </w:r>
          <w:r>
            <w:rPr>
              <w:rFonts w:hint="eastAsia" w:ascii="Times New Roman" w:cs="Times New Roman"/>
              <w:lang w:val="en-US" w:eastAsia="zh-CN"/>
            </w:rPr>
            <w:t>10</w:t>
          </w:r>
          <w:r>
            <w:rPr>
              <w:rFonts w:hint="default" w:ascii="Times New Roman" w:hAnsi="Times New Roman" w:cs="Times New Roman"/>
              <w:highlight w:val="yellow"/>
            </w:rPr>
            <w:fldChar w:fldCharType="end"/>
          </w: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_Toc2815 </w:instrText>
          </w:r>
          <w:r>
            <w:rPr>
              <w:rFonts w:hint="default" w:ascii="Times New Roman" w:hAnsi="Times New Roman" w:cs="Times New Roman"/>
              <w:highlight w:val="yellow"/>
            </w:rPr>
            <w:fldChar w:fldCharType="separate"/>
          </w:r>
        </w:p>
        <w:p w14:paraId="7D56C16E">
          <w:pPr>
            <w:pStyle w:val="28"/>
            <w:tabs>
              <w:tab w:val="right" w:leader="dot" w:pos="9354"/>
              <w:tab w:val="clear" w:pos="9241"/>
            </w:tabs>
            <w:rPr>
              <w:rFonts w:hint="default" w:ascii="Times New Roman" w:hAnsi="Times New Roman" w:cs="Times New Roman"/>
            </w:rPr>
          </w:pPr>
          <w:r>
            <w:rPr>
              <w:rFonts w:hint="default" w:ascii="Times New Roman" w:hAnsi="Times New Roman" w:eastAsia="黑体" w:cs="Times New Roman"/>
              <w:i w:val="0"/>
              <w:szCs w:val="21"/>
              <w:lang w:val="en-US" w:eastAsia="zh-CN"/>
            </w:rPr>
            <w:t xml:space="preserve">9 </w:t>
          </w:r>
          <w:r>
            <w:rPr>
              <w:rFonts w:hint="default" w:ascii="Times New Roman" w:hAnsi="Times New Roman" w:cs="Times New Roman"/>
              <w:highlight w:val="none"/>
              <w:lang w:val="en-US" w:eastAsia="zh-CN"/>
            </w:rPr>
            <w:t>绩效评价</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_Toc2815 \h </w:instrText>
          </w:r>
          <w:r>
            <w:rPr>
              <w:rFonts w:hint="default" w:ascii="Times New Roman" w:hAnsi="Times New Roman" w:cs="Times New Roman"/>
            </w:rPr>
            <w:fldChar w:fldCharType="separate"/>
          </w:r>
          <w:r>
            <w:rPr>
              <w:rFonts w:hint="default" w:ascii="Times New Roman" w:hAnsi="Times New Roman" w:cs="Times New Roman"/>
            </w:rPr>
            <w:t>10</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330A3671">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9.1</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监视、测量、分析和评价</w:t>
          </w:r>
          <w:r>
            <w:rPr>
              <w:rFonts w:hint="default" w:ascii="Times New Roman" w:hAnsi="Times New Roman" w:cs="Times New Roman"/>
            </w:rPr>
            <w:tab/>
          </w:r>
          <w:r>
            <w:rPr>
              <w:rFonts w:hint="eastAsia" w:ascii="Times New Roman" w:cs="Times New Roman"/>
              <w:lang w:val="en-US" w:eastAsia="zh-CN"/>
            </w:rPr>
            <w:t>10</w:t>
          </w:r>
          <w:r>
            <w:rPr>
              <w:rFonts w:hint="default" w:ascii="Times New Roman" w:hAnsi="Times New Roman" w:cs="Times New Roman"/>
              <w:highlight w:val="yellow"/>
            </w:rPr>
            <w:fldChar w:fldCharType="end"/>
          </w:r>
        </w:p>
        <w:p w14:paraId="050B319A">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9.2</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内部审核</w:t>
          </w:r>
          <w:r>
            <w:rPr>
              <w:rFonts w:hint="default" w:ascii="Times New Roman" w:hAnsi="Times New Roman" w:cs="Times New Roman"/>
            </w:rPr>
            <w:tab/>
          </w:r>
          <w:r>
            <w:rPr>
              <w:rFonts w:hint="eastAsia" w:ascii="Times New Roman" w:cs="Times New Roman"/>
              <w:lang w:val="en-US" w:eastAsia="zh-CN"/>
            </w:rPr>
            <w:t>12</w:t>
          </w:r>
          <w:r>
            <w:rPr>
              <w:rFonts w:hint="default" w:ascii="Times New Roman" w:hAnsi="Times New Roman" w:cs="Times New Roman"/>
              <w:highlight w:val="yellow"/>
            </w:rPr>
            <w:fldChar w:fldCharType="end"/>
          </w:r>
        </w:p>
        <w:p w14:paraId="09E2B9AE">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9.3</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管理评审</w:t>
          </w:r>
          <w:r>
            <w:rPr>
              <w:rFonts w:hint="default" w:ascii="Times New Roman" w:hAnsi="Times New Roman" w:cs="Times New Roman"/>
            </w:rPr>
            <w:tab/>
          </w:r>
          <w:r>
            <w:rPr>
              <w:rFonts w:hint="eastAsia" w:ascii="Times New Roman" w:cs="Times New Roman"/>
              <w:lang w:val="en-US" w:eastAsia="zh-CN"/>
            </w:rPr>
            <w:t>12</w:t>
          </w:r>
          <w:r>
            <w:rPr>
              <w:rFonts w:hint="default" w:ascii="Times New Roman" w:hAnsi="Times New Roman" w:cs="Times New Roman"/>
              <w:highlight w:val="yellow"/>
            </w:rPr>
            <w:fldChar w:fldCharType="end"/>
          </w:r>
        </w:p>
        <w:p w14:paraId="338D45D8">
          <w:pPr>
            <w:pStyle w:val="28"/>
            <w:tabs>
              <w:tab w:val="right" w:leader="dot" w:pos="9354"/>
              <w:tab w:val="clear" w:pos="9241"/>
            </w:tabs>
            <w:rPr>
              <w:rFonts w:hint="default" w:ascii="Times New Roman" w:hAnsi="Times New Roman" w:cs="Times New Roman"/>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_Toc18395 </w:instrText>
          </w:r>
          <w:r>
            <w:rPr>
              <w:rFonts w:hint="default" w:ascii="Times New Roman" w:hAnsi="Times New Roman" w:cs="Times New Roman"/>
              <w:highlight w:val="yellow"/>
            </w:rPr>
            <w:fldChar w:fldCharType="separate"/>
          </w:r>
          <w:r>
            <w:rPr>
              <w:rFonts w:hint="default" w:ascii="Times New Roman" w:hAnsi="Times New Roman" w:eastAsia="黑体" w:cs="Times New Roman"/>
              <w:i w:val="0"/>
              <w:szCs w:val="21"/>
              <w:lang w:val="en-US" w:eastAsia="zh-CN"/>
            </w:rPr>
            <w:t xml:space="preserve">10 </w:t>
          </w:r>
          <w:r>
            <w:rPr>
              <w:rFonts w:hint="default" w:ascii="Times New Roman" w:hAnsi="Times New Roman" w:cs="Times New Roman"/>
              <w:highlight w:val="none"/>
              <w:lang w:val="en-US" w:eastAsia="zh-CN"/>
            </w:rPr>
            <w:t>改进</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_Toc18395 \h </w:instrText>
          </w:r>
          <w:r>
            <w:rPr>
              <w:rFonts w:hint="default" w:ascii="Times New Roman" w:hAnsi="Times New Roman" w:cs="Times New Roman"/>
            </w:rPr>
            <w:fldChar w:fldCharType="separate"/>
          </w:r>
          <w:r>
            <w:rPr>
              <w:rFonts w:hint="default" w:ascii="Times New Roman" w:hAnsi="Times New Roman" w:cs="Times New Roman"/>
            </w:rPr>
            <w:t>1</w:t>
          </w:r>
          <w:r>
            <w:rPr>
              <w:rFonts w:hint="eastAsia" w:ascii="Times New Roman" w:cs="Times New Roman"/>
              <w:lang w:val="en-US" w:eastAsia="zh-CN"/>
            </w:rPr>
            <w:t>3</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33D6B07B">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10.1</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不符合和纠正措施</w:t>
          </w:r>
          <w:r>
            <w:rPr>
              <w:rFonts w:hint="default" w:ascii="Times New Roman" w:hAnsi="Times New Roman" w:cs="Times New Roman"/>
            </w:rPr>
            <w:tab/>
          </w:r>
          <w:r>
            <w:rPr>
              <w:rFonts w:hint="eastAsia" w:ascii="Times New Roman" w:cs="Times New Roman"/>
              <w:lang w:val="en-US" w:eastAsia="zh-CN"/>
            </w:rPr>
            <w:t>13</w:t>
          </w:r>
          <w:r>
            <w:rPr>
              <w:rFonts w:hint="default" w:ascii="Times New Roman" w:hAnsi="Times New Roman" w:cs="Times New Roman"/>
              <w:highlight w:val="yellow"/>
            </w:rPr>
            <w:fldChar w:fldCharType="end"/>
          </w:r>
        </w:p>
        <w:p w14:paraId="4CC86741">
          <w:pPr>
            <w:pStyle w:val="19"/>
            <w:keepNext w:val="0"/>
            <w:keepLines w:val="0"/>
            <w:pageBreakBefore w:val="0"/>
            <w:widowControl w:val="0"/>
            <w:tabs>
              <w:tab w:val="right" w:leader="dot" w:pos="9354"/>
              <w:tab w:val="clear" w:pos="9241"/>
            </w:tabs>
            <w:kinsoku/>
            <w:wordWrap/>
            <w:overflowPunct/>
            <w:topLinePunct w:val="0"/>
            <w:autoSpaceDE/>
            <w:autoSpaceDN/>
            <w:bidi w:val="0"/>
            <w:adjustRightInd/>
            <w:snapToGrid/>
            <w:ind w:firstLine="420" w:firstLineChars="200"/>
            <w:textAlignment w:val="auto"/>
            <w:rPr>
              <w:rFonts w:hint="default" w:ascii="Times New Roman" w:hAnsi="Times New Roman" w:cs="Times New Roman"/>
              <w:highlight w:val="yellow"/>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_Toc13745 </w:instrText>
          </w:r>
          <w:r>
            <w:rPr>
              <w:rFonts w:hint="default" w:ascii="Times New Roman" w:hAnsi="Times New Roman" w:cs="Times New Roman"/>
              <w:highlight w:val="yellow"/>
            </w:rPr>
            <w:fldChar w:fldCharType="separate"/>
          </w:r>
          <w:r>
            <w:rPr>
              <w:rFonts w:hint="eastAsia" w:ascii="Times New Roman" w:eastAsia="黑体" w:cs="Times New Roman"/>
              <w:i w:val="0"/>
              <w:szCs w:val="21"/>
              <w:lang w:val="en-US" w:eastAsia="zh-CN"/>
            </w:rPr>
            <w:t>10.2</w:t>
          </w:r>
          <w:r>
            <w:rPr>
              <w:rFonts w:hint="default" w:ascii="Times New Roman" w:hAnsi="Times New Roman" w:eastAsia="黑体" w:cs="Times New Roman"/>
              <w:i w:val="0"/>
              <w:szCs w:val="21"/>
            </w:rPr>
            <w:t xml:space="preserve"> </w:t>
          </w:r>
          <w:r>
            <w:rPr>
              <w:rFonts w:hint="default" w:ascii="Times New Roman" w:hAnsi="Times New Roman" w:cs="Times New Roman"/>
              <w:highlight w:val="none"/>
            </w:rPr>
            <w:t>持续改进</w:t>
          </w:r>
          <w:r>
            <w:rPr>
              <w:rFonts w:hint="default" w:ascii="Times New Roman" w:hAnsi="Times New Roman" w:cs="Times New Roman"/>
            </w:rPr>
            <w:tab/>
          </w:r>
          <w:r>
            <w:rPr>
              <w:rFonts w:hint="eastAsia" w:ascii="Times New Roman" w:cs="Times New Roman"/>
              <w:lang w:val="en-US" w:eastAsia="zh-CN"/>
            </w:rPr>
            <w:t>13</w:t>
          </w:r>
          <w:r>
            <w:rPr>
              <w:rFonts w:hint="default" w:ascii="Times New Roman" w:hAnsi="Times New Roman" w:cs="Times New Roman"/>
              <w:highlight w:val="yellow"/>
            </w:rPr>
            <w:fldChar w:fldCharType="end"/>
          </w:r>
        </w:p>
        <w:p w14:paraId="228642F9">
          <w:pPr>
            <w:pStyle w:val="28"/>
            <w:tabs>
              <w:tab w:val="right" w:leader="dot" w:pos="9354"/>
              <w:tab w:val="clear" w:pos="9241"/>
            </w:tabs>
            <w:rPr>
              <w:rFonts w:hint="default" w:ascii="Times New Roman" w:hAnsi="Times New Roman" w:cs="Times New Roman"/>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_Toc26460 </w:instrText>
          </w:r>
          <w:r>
            <w:rPr>
              <w:rFonts w:hint="default" w:ascii="Times New Roman" w:hAnsi="Times New Roman" w:cs="Times New Roman"/>
              <w:highlight w:val="yellow"/>
            </w:rPr>
            <w:fldChar w:fldCharType="separate"/>
          </w:r>
          <w:r>
            <w:rPr>
              <w:rFonts w:hint="default" w:ascii="Times New Roman" w:hAnsi="Times New Roman" w:cs="Times New Roman"/>
              <w:highlight w:val="none"/>
              <w:lang w:val="en-US" w:eastAsia="zh-CN"/>
            </w:rPr>
            <w:t>附 录 A（资料性）碳绩效参数及碳基准示例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_Toc26460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7E6E501D">
          <w:pPr>
            <w:pStyle w:val="28"/>
            <w:tabs>
              <w:tab w:val="right" w:leader="dot" w:pos="9354"/>
              <w:tab w:val="clear" w:pos="9241"/>
            </w:tabs>
            <w:rPr>
              <w:rFonts w:hint="default" w:ascii="Times New Roman" w:hAnsi="Times New Roman" w:cs="Times New Roman"/>
            </w:rPr>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_Toc18187 </w:instrText>
          </w:r>
          <w:r>
            <w:rPr>
              <w:rFonts w:hint="default" w:ascii="Times New Roman" w:hAnsi="Times New Roman" w:cs="Times New Roman"/>
              <w:highlight w:val="yellow"/>
            </w:rPr>
            <w:fldChar w:fldCharType="separate"/>
          </w:r>
          <w:r>
            <w:rPr>
              <w:rFonts w:hint="default" w:ascii="Times New Roman" w:hAnsi="Times New Roman" w:cs="Times New Roman"/>
              <w:highlight w:val="none"/>
              <w:lang w:val="en-US" w:eastAsia="zh-CN"/>
            </w:rPr>
            <w:t>附 录 B（资料性）钢铁企业碳排放数据收集示例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_Toc18187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48804DD7">
          <w:pPr>
            <w:pStyle w:val="28"/>
            <w:tabs>
              <w:tab w:val="right" w:leader="dot" w:pos="9354"/>
              <w:tab w:val="clear" w:pos="9241"/>
            </w:tabs>
          </w:pPr>
          <w:r>
            <w:rPr>
              <w:rFonts w:hint="default" w:ascii="Times New Roman" w:hAnsi="Times New Roman" w:cs="Times New Roman"/>
              <w:highlight w:val="yellow"/>
            </w:rPr>
            <w:fldChar w:fldCharType="begin"/>
          </w:r>
          <w:r>
            <w:rPr>
              <w:rFonts w:hint="default" w:ascii="Times New Roman" w:hAnsi="Times New Roman" w:cs="Times New Roman"/>
              <w:highlight w:val="yellow"/>
            </w:rPr>
            <w:instrText xml:space="preserve"> HYPERLINK \l _Toc27676 </w:instrText>
          </w:r>
          <w:r>
            <w:rPr>
              <w:rFonts w:hint="default" w:ascii="Times New Roman" w:hAnsi="Times New Roman" w:cs="Times New Roman"/>
              <w:highlight w:val="yellow"/>
            </w:rPr>
            <w:fldChar w:fldCharType="separate"/>
          </w:r>
          <w:r>
            <w:rPr>
              <w:rFonts w:hint="default" w:ascii="Times New Roman" w:hAnsi="Times New Roman" w:cs="Times New Roman"/>
              <w:highlight w:val="none"/>
              <w:lang w:val="en-US" w:eastAsia="zh-CN"/>
            </w:rPr>
            <w:t>参 考 文 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_Toc27676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r>
            <w:rPr>
              <w:rFonts w:hint="default" w:ascii="Times New Roman" w:hAnsi="Times New Roman" w:cs="Times New Roman"/>
              <w:highlight w:val="yellow"/>
            </w:rPr>
            <w:fldChar w:fldCharType="end"/>
          </w:r>
        </w:p>
        <w:p w14:paraId="4527895C">
          <w:pPr>
            <w:pStyle w:val="19"/>
            <w:spacing w:before="78" w:after="78" w:line="360" w:lineRule="auto"/>
            <w:rPr>
              <w:highlight w:val="yellow"/>
            </w:rPr>
          </w:pPr>
          <w:r>
            <w:rPr>
              <w:rFonts w:hint="eastAsia"/>
              <w:highlight w:val="yellow"/>
            </w:rPr>
            <w:fldChar w:fldCharType="end"/>
          </w:r>
        </w:p>
      </w:sdtContent>
    </w:sdt>
    <w:p w14:paraId="18CD6ABC">
      <w:pPr>
        <w:pStyle w:val="113"/>
        <w:rPr>
          <w:szCs w:val="22"/>
          <w:highlight w:val="yellow"/>
        </w:rPr>
        <w:sectPr>
          <w:headerReference r:id="rId15" w:type="first"/>
          <w:headerReference r:id="rId13" w:type="default"/>
          <w:footerReference r:id="rId16" w:type="default"/>
          <w:headerReference r:id="rId14" w:type="even"/>
          <w:footerReference r:id="rId17" w:type="even"/>
          <w:pgSz w:w="11906" w:h="16838"/>
          <w:pgMar w:top="567" w:right="1134" w:bottom="1134" w:left="1418" w:header="1418" w:footer="1134" w:gutter="0"/>
          <w:pgNumType w:fmt="upperRoman" w:start="2"/>
          <w:cols w:space="425" w:num="1"/>
          <w:formProt w:val="0"/>
          <w:docGrid w:type="lines" w:linePitch="312" w:charSpace="0"/>
        </w:sectPr>
      </w:pPr>
      <w:bookmarkStart w:id="10" w:name="_Toc32510"/>
      <w:bookmarkStart w:id="11" w:name="_Toc52288515"/>
      <w:bookmarkStart w:id="12" w:name="_Toc44414102"/>
    </w:p>
    <w:bookmarkEnd w:id="10"/>
    <w:p w14:paraId="1B847FBF">
      <w:pPr>
        <w:pStyle w:val="23"/>
        <w:ind w:firstLine="0" w:firstLineChars="0"/>
        <w:rPr>
          <w:rFonts w:hint="eastAsia" w:ascii="黑体" w:hAnsi="黑体" w:eastAsia="黑体" w:cs="黑体"/>
          <w:sz w:val="32"/>
          <w:szCs w:val="32"/>
          <w:highlight w:val="yellow"/>
        </w:rPr>
      </w:pPr>
    </w:p>
    <w:p w14:paraId="452586DF">
      <w:pPr>
        <w:pStyle w:val="23"/>
        <w:ind w:firstLine="0" w:firstLineChars="0"/>
        <w:jc w:val="center"/>
        <w:outlineLvl w:val="0"/>
        <w:rPr>
          <w:rFonts w:hint="eastAsia" w:ascii="黑体" w:hAnsi="黑体" w:eastAsia="黑体" w:cs="黑体"/>
          <w:sz w:val="32"/>
          <w:szCs w:val="32"/>
          <w:highlight w:val="none"/>
        </w:rPr>
      </w:pPr>
      <w:bookmarkStart w:id="13" w:name="_Toc31912"/>
      <w:r>
        <w:rPr>
          <w:rFonts w:hint="eastAsia" w:ascii="黑体" w:hAnsi="黑体" w:eastAsia="黑体" w:cs="黑体"/>
          <w:sz w:val="32"/>
          <w:szCs w:val="32"/>
          <w:highlight w:val="none"/>
        </w:rPr>
        <w:t>前    言</w:t>
      </w:r>
      <w:bookmarkEnd w:id="13"/>
    </w:p>
    <w:p w14:paraId="4BB3F39A">
      <w:pPr>
        <w:pStyle w:val="23"/>
        <w:ind w:firstLine="0" w:firstLineChars="0"/>
        <w:rPr>
          <w:rFonts w:hint="eastAsia" w:ascii="黑体" w:hAnsi="黑体" w:eastAsia="黑体" w:cs="黑体"/>
          <w:sz w:val="24"/>
          <w:szCs w:val="24"/>
          <w:highlight w:val="none"/>
        </w:rPr>
      </w:pPr>
    </w:p>
    <w:p w14:paraId="51952593">
      <w:pPr>
        <w:pStyle w:val="23"/>
        <w:rPr>
          <w:rFonts w:hint="eastAsia" w:hAnsi="宋体" w:cs="宋体"/>
          <w:highlight w:val="none"/>
        </w:rPr>
      </w:pPr>
      <w:bookmarkStart w:id="14" w:name="_Toc23227"/>
      <w:r>
        <w:rPr>
          <w:rFonts w:hint="eastAsia" w:hAnsi="宋体" w:cs="宋体"/>
          <w:highlight w:val="none"/>
        </w:rPr>
        <w:t>本文件按照GB/T 1.1—2020《标准化工作导则  第1部分：标准化文件的结构和起草规则》的规定起草。</w:t>
      </w:r>
    </w:p>
    <w:p w14:paraId="61CF4EF1">
      <w:pPr>
        <w:pStyle w:val="23"/>
        <w:rPr>
          <w:rFonts w:hint="eastAsia" w:hAnsi="宋体" w:cs="宋体"/>
          <w:highlight w:val="none"/>
        </w:rPr>
      </w:pPr>
      <w:r>
        <w:rPr>
          <w:rFonts w:hint="eastAsia" w:hAnsi="宋体" w:cs="宋体"/>
          <w:highlight w:val="none"/>
        </w:rPr>
        <w:t>本文件的某些内容可能涉及专利。本文件的发布机构不承担识别专利的责任。</w:t>
      </w:r>
    </w:p>
    <w:p w14:paraId="69146BE2">
      <w:pPr>
        <w:pStyle w:val="23"/>
        <w:rPr>
          <w:rFonts w:hint="eastAsia" w:hAnsi="宋体" w:cs="宋体"/>
          <w:highlight w:val="none"/>
        </w:rPr>
      </w:pPr>
      <w:r>
        <w:rPr>
          <w:rFonts w:hint="eastAsia" w:hAnsi="宋体" w:cs="宋体"/>
          <w:highlight w:val="none"/>
        </w:rPr>
        <w:t>本文件由中国认证认可协会提出并归口。</w:t>
      </w:r>
    </w:p>
    <w:p w14:paraId="4F7BB25D">
      <w:pPr>
        <w:pStyle w:val="23"/>
        <w:rPr>
          <w:rFonts w:hint="eastAsia" w:hAnsi="宋体" w:cs="宋体"/>
          <w:highlight w:val="none"/>
        </w:rPr>
      </w:pPr>
      <w:r>
        <w:rPr>
          <w:rFonts w:hint="eastAsia" w:hAnsi="宋体" w:cs="宋体"/>
          <w:highlight w:val="none"/>
        </w:rPr>
        <w:t>本文件起草单位：</w:t>
      </w:r>
      <w:r>
        <w:rPr>
          <w:rFonts w:hint="eastAsia" w:hAnsi="宋体" w:cs="宋体"/>
          <w:highlight w:val="none"/>
          <w:lang w:val="en-US" w:eastAsia="zh-CN"/>
        </w:rPr>
        <w:t>XXX</w:t>
      </w:r>
      <w:r>
        <w:rPr>
          <w:rFonts w:hint="eastAsia" w:hAnsi="宋体" w:cs="宋体"/>
          <w:highlight w:val="none"/>
        </w:rPr>
        <w:t>等。</w:t>
      </w:r>
    </w:p>
    <w:p w14:paraId="57767DE3">
      <w:pPr>
        <w:pStyle w:val="23"/>
        <w:rPr>
          <w:rFonts w:hint="eastAsia" w:hAnsi="宋体" w:cs="宋体"/>
          <w:color w:val="000000" w:themeColor="text1"/>
          <w:highlight w:val="yellow"/>
          <w14:textFill>
            <w14:solidFill>
              <w14:schemeClr w14:val="tx1"/>
            </w14:solidFill>
          </w14:textFill>
        </w:rPr>
      </w:pPr>
      <w:r>
        <w:rPr>
          <w:rFonts w:hint="eastAsia" w:hAnsi="宋体" w:cs="宋体"/>
          <w:highlight w:val="none"/>
        </w:rPr>
        <w:t>本文件主要起草人：X</w:t>
      </w:r>
      <w:r>
        <w:rPr>
          <w:rFonts w:hAnsi="宋体" w:cs="宋体"/>
          <w:highlight w:val="none"/>
        </w:rPr>
        <w:t>XX</w:t>
      </w:r>
      <w:r>
        <w:rPr>
          <w:rFonts w:hint="eastAsia" w:hAnsi="宋体" w:cs="宋体"/>
          <w:highlight w:val="none"/>
        </w:rPr>
        <w:t>等。</w:t>
      </w:r>
    </w:p>
    <w:bookmarkEnd w:id="11"/>
    <w:bookmarkEnd w:id="12"/>
    <w:bookmarkEnd w:id="14"/>
    <w:p w14:paraId="77C86113">
      <w:pPr>
        <w:pStyle w:val="23"/>
        <w:ind w:firstLine="0" w:firstLineChars="0"/>
        <w:rPr>
          <w:highlight w:val="yellow"/>
        </w:rPr>
        <w:sectPr>
          <w:headerReference r:id="rId20" w:type="first"/>
          <w:headerReference r:id="rId18" w:type="default"/>
          <w:footerReference r:id="rId21" w:type="default"/>
          <w:headerReference r:id="rId19" w:type="even"/>
          <w:footerReference r:id="rId22" w:type="even"/>
          <w:pgSz w:w="11906" w:h="16838"/>
          <w:pgMar w:top="567" w:right="1134" w:bottom="1134" w:left="1418" w:header="1418" w:footer="1134" w:gutter="0"/>
          <w:pgNumType w:fmt="upperRoman" w:start="2"/>
          <w:cols w:space="425" w:num="1"/>
          <w:formProt w:val="0"/>
          <w:docGrid w:type="lines" w:linePitch="312" w:charSpace="0"/>
        </w:sectPr>
      </w:pPr>
    </w:p>
    <w:p w14:paraId="5D412085">
      <w:pPr>
        <w:jc w:val="center"/>
        <w:rPr>
          <w:rFonts w:hint="eastAsia" w:ascii="黑体" w:hAnsi="黑体" w:eastAsia="黑体" w:cs="黑体"/>
          <w:sz w:val="32"/>
          <w:szCs w:val="32"/>
          <w:highlight w:val="none"/>
        </w:rPr>
      </w:pPr>
      <w:bookmarkStart w:id="15" w:name="_Toc16795"/>
      <w:sdt>
        <w:sdtPr>
          <w:rPr>
            <w:rFonts w:hint="eastAsia" w:ascii="黑体" w:hAnsi="黑体" w:eastAsia="黑体"/>
            <w:kern w:val="0"/>
            <w:sz w:val="32"/>
            <w:szCs w:val="32"/>
            <w:highlight w:val="yellow"/>
            <w:lang w:val="zh-CN" w:bidi="zh-CN"/>
          </w:rPr>
          <w:alias w:val="标准名称"/>
          <w:tag w:val="标准名称"/>
          <w:id w:val="1795105741"/>
          <w:lock w:val="sdtLocked"/>
          <w:text w:multiLine="1"/>
        </w:sdtPr>
        <w:sdtEndPr>
          <w:rPr>
            <w:rFonts w:hint="eastAsia" w:ascii="黑体" w:hAnsi="黑体" w:eastAsia="黑体"/>
            <w:kern w:val="0"/>
            <w:sz w:val="32"/>
            <w:szCs w:val="32"/>
            <w:highlight w:val="none"/>
            <w:lang w:val="zh-CN" w:bidi="zh-CN"/>
          </w:rPr>
        </w:sdtEndPr>
        <w:sdtContent>
          <w:r>
            <w:rPr>
              <w:rFonts w:hint="eastAsia" w:ascii="黑体" w:hAnsi="黑体" w:eastAsia="黑体"/>
              <w:kern w:val="0"/>
              <w:sz w:val="32"/>
              <w:szCs w:val="32"/>
              <w:highlight w:val="none"/>
              <w:lang w:val="zh-CN" w:bidi="zh-CN"/>
            </w:rPr>
            <w:t>碳管理体系 钢铁企业要求</w:t>
          </w:r>
        </w:sdtContent>
      </w:sdt>
      <w:bookmarkEnd w:id="15"/>
      <w:bookmarkStart w:id="16" w:name="StandardName"/>
      <w:bookmarkEnd w:id="16"/>
    </w:p>
    <w:p w14:paraId="268969A8">
      <w:pPr>
        <w:pStyle w:val="46"/>
        <w:spacing w:before="312" w:after="312"/>
        <w:outlineLvl w:val="0"/>
        <w:rPr>
          <w:highlight w:val="none"/>
        </w:rPr>
      </w:pPr>
      <w:bookmarkStart w:id="17" w:name="_Toc52288516"/>
      <w:bookmarkStart w:id="18" w:name="_Toc21045"/>
      <w:bookmarkStart w:id="19" w:name="_Toc44414103"/>
      <w:bookmarkStart w:id="20" w:name="_Toc59"/>
      <w:r>
        <w:rPr>
          <w:rFonts w:hint="eastAsia"/>
          <w:highlight w:val="none"/>
        </w:rPr>
        <w:t>范围</w:t>
      </w:r>
      <w:bookmarkEnd w:id="17"/>
      <w:bookmarkEnd w:id="18"/>
      <w:bookmarkEnd w:id="19"/>
      <w:bookmarkEnd w:id="20"/>
    </w:p>
    <w:p w14:paraId="00A7159F">
      <w:pPr>
        <w:ind w:firstLine="420" w:firstLineChars="200"/>
        <w:rPr>
          <w:highlight w:val="none"/>
        </w:rPr>
      </w:pPr>
      <w:r>
        <w:rPr>
          <w:rFonts w:hint="eastAsia"/>
          <w:highlight w:val="none"/>
        </w:rPr>
        <w:t>本文件</w:t>
      </w:r>
      <w:r>
        <w:rPr>
          <w:rFonts w:hint="eastAsia"/>
          <w:highlight w:val="none"/>
          <w:lang w:val="en-US" w:eastAsia="zh-CN"/>
        </w:rPr>
        <w:t>规定</w:t>
      </w:r>
      <w:r>
        <w:rPr>
          <w:rFonts w:hint="eastAsia"/>
          <w:highlight w:val="none"/>
        </w:rPr>
        <w:t>了</w:t>
      </w:r>
      <w:r>
        <w:rPr>
          <w:rFonts w:hint="eastAsia"/>
          <w:highlight w:val="none"/>
          <w:lang w:val="en-US" w:eastAsia="zh-CN"/>
        </w:rPr>
        <w:t>钢铁</w:t>
      </w:r>
      <w:r>
        <w:rPr>
          <w:rFonts w:hint="eastAsia" w:ascii="Times New Roman" w:cs="Times New Roman"/>
          <w:highlight w:val="none"/>
          <w:lang w:val="en-US" w:eastAsia="zh-CN"/>
        </w:rPr>
        <w:t>企业</w:t>
      </w:r>
      <w:r>
        <w:rPr>
          <w:rFonts w:hint="eastAsia" w:cs="Times New Roman"/>
          <w:highlight w:val="none"/>
          <w:lang w:val="en-US" w:eastAsia="zh-CN"/>
        </w:rPr>
        <w:t>建立、实施、保持和改进</w:t>
      </w:r>
      <w:r>
        <w:rPr>
          <w:rFonts w:hint="default" w:ascii="Times New Roman" w:hAnsi="Times New Roman" w:cs="Times New Roman"/>
          <w:highlight w:val="none"/>
        </w:rPr>
        <w:t>碳管理体系</w:t>
      </w:r>
      <w:r>
        <w:rPr>
          <w:rFonts w:hint="eastAsia" w:cs="Times New Roman"/>
          <w:highlight w:val="none"/>
          <w:lang w:val="en-US" w:eastAsia="zh-CN"/>
        </w:rPr>
        <w:t>的</w:t>
      </w:r>
      <w:r>
        <w:rPr>
          <w:rFonts w:hint="eastAsia"/>
          <w:highlight w:val="none"/>
        </w:rPr>
        <w:t>要求。</w:t>
      </w:r>
    </w:p>
    <w:p w14:paraId="24F52218">
      <w:pPr>
        <w:ind w:firstLine="420" w:firstLineChars="200"/>
        <w:rPr>
          <w:highlight w:val="none"/>
        </w:rPr>
      </w:pPr>
      <w:r>
        <w:rPr>
          <w:rFonts w:hint="eastAsia"/>
          <w:highlight w:val="none"/>
        </w:rPr>
        <w:t>本文件适用于</w:t>
      </w:r>
      <w:r>
        <w:rPr>
          <w:rFonts w:hint="eastAsia"/>
          <w:highlight w:val="none"/>
          <w:lang w:val="en-US" w:eastAsia="zh-CN"/>
        </w:rPr>
        <w:t>钢铁联合企业，独立轧钢企业可参照使用</w:t>
      </w:r>
      <w:r>
        <w:rPr>
          <w:rFonts w:hint="eastAsia"/>
          <w:highlight w:val="none"/>
        </w:rPr>
        <w:t>。</w:t>
      </w:r>
    </w:p>
    <w:p w14:paraId="6B29C870">
      <w:pPr>
        <w:pStyle w:val="46"/>
        <w:spacing w:before="312" w:after="312"/>
        <w:outlineLvl w:val="0"/>
        <w:rPr>
          <w:highlight w:val="none"/>
        </w:rPr>
      </w:pPr>
      <w:bookmarkStart w:id="21" w:name="_Toc44414104"/>
      <w:bookmarkStart w:id="22" w:name="_Toc3041"/>
      <w:bookmarkStart w:id="23" w:name="_Toc52288517"/>
      <w:bookmarkStart w:id="24" w:name="_Toc19586"/>
      <w:r>
        <w:rPr>
          <w:rFonts w:hint="eastAsia"/>
          <w:highlight w:val="none"/>
        </w:rPr>
        <w:t>规范性引用文件</w:t>
      </w:r>
      <w:bookmarkEnd w:id="21"/>
      <w:bookmarkEnd w:id="22"/>
      <w:bookmarkEnd w:id="23"/>
      <w:bookmarkEnd w:id="24"/>
    </w:p>
    <w:p w14:paraId="3CFB4E3C">
      <w:pPr>
        <w:ind w:firstLine="420" w:firstLineChars="20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054D720">
      <w:pPr>
        <w:ind w:firstLine="420" w:firstLineChars="200"/>
        <w:rPr>
          <w:rFonts w:hint="eastAsia" w:cs="Times New Roman"/>
          <w:highlight w:val="none"/>
          <w:lang w:val="en-US" w:eastAsia="zh-CN"/>
        </w:rPr>
      </w:pPr>
      <w:r>
        <w:rPr>
          <w:rFonts w:hint="default" w:ascii="Times New Roman" w:hAnsi="Times New Roman" w:cs="Times New Roman"/>
          <w:highlight w:val="none"/>
        </w:rPr>
        <w:t>GB 17167</w:t>
      </w:r>
      <w:r>
        <w:rPr>
          <w:rFonts w:hint="eastAsia" w:cs="Times New Roman"/>
          <w:highlight w:val="none"/>
          <w:lang w:val="en-US" w:eastAsia="zh-CN"/>
        </w:rPr>
        <w:t xml:space="preserve"> 用能单位能源计量器具配备和管理通则</w:t>
      </w:r>
    </w:p>
    <w:p w14:paraId="029101F3">
      <w:pPr>
        <w:ind w:firstLine="420" w:firstLineChars="200"/>
        <w:rPr>
          <w:rFonts w:hint="eastAsia" w:cs="Times New Roman"/>
          <w:highlight w:val="none"/>
          <w:lang w:val="en-US" w:eastAsia="zh-CN"/>
        </w:rPr>
      </w:pPr>
      <w:r>
        <w:rPr>
          <w:rFonts w:hint="eastAsia" w:cs="Times New Roman"/>
          <w:highlight w:val="none"/>
          <w:lang w:val="en-US" w:eastAsia="zh-CN"/>
        </w:rPr>
        <w:t>GB 21256 粗钢生产主要工序单位产品能源消耗限额</w:t>
      </w:r>
    </w:p>
    <w:p w14:paraId="67BC83B4">
      <w:pPr>
        <w:ind w:firstLine="420" w:firstLineChars="200"/>
        <w:rPr>
          <w:rFonts w:hint="default" w:cs="Times New Roman"/>
          <w:highlight w:val="none"/>
          <w:lang w:val="en-US" w:eastAsia="zh-CN"/>
        </w:rPr>
      </w:pPr>
      <w:r>
        <w:rPr>
          <w:rFonts w:hint="default" w:cs="Times New Roman"/>
          <w:highlight w:val="none"/>
          <w:lang w:val="en-US" w:eastAsia="zh-CN"/>
        </w:rPr>
        <w:t>GB 21341</w:t>
      </w:r>
      <w:r>
        <w:rPr>
          <w:rFonts w:hint="eastAsia" w:cs="Times New Roman"/>
          <w:highlight w:val="none"/>
          <w:lang w:val="en-US" w:eastAsia="zh-CN"/>
        </w:rPr>
        <w:t xml:space="preserve"> 铁合金单位产品能源消耗限额</w:t>
      </w:r>
    </w:p>
    <w:p w14:paraId="65C9CFA4">
      <w:pPr>
        <w:ind w:firstLine="420" w:firstLineChars="200"/>
        <w:rPr>
          <w:rFonts w:hint="eastAsia" w:ascii="Times New Roman" w:hAnsi="Times New Roman" w:eastAsia="宋体" w:cs="Times New Roman"/>
          <w:highlight w:val="none"/>
          <w:lang w:val="en-US" w:eastAsia="zh-CN"/>
        </w:rPr>
      </w:pPr>
      <w:r>
        <w:rPr>
          <w:rFonts w:hint="default" w:ascii="Times New Roman" w:hAnsi="Times New Roman" w:cs="Times New Roman"/>
          <w:highlight w:val="none"/>
        </w:rPr>
        <w:t>GB/T 21368</w:t>
      </w:r>
      <w:r>
        <w:rPr>
          <w:rFonts w:hint="eastAsia" w:cs="Times New Roman"/>
          <w:highlight w:val="none"/>
          <w:lang w:val="en-US" w:eastAsia="zh-CN"/>
        </w:rPr>
        <w:t xml:space="preserve"> 钢铁企业能源计量器具配备和管理要求</w:t>
      </w:r>
    </w:p>
    <w:p w14:paraId="75A9CD46">
      <w:pPr>
        <w:ind w:firstLine="420" w:firstLineChars="200"/>
        <w:rPr>
          <w:rFonts w:hint="eastAsia" w:ascii="Times New Roman" w:hAnsi="Times New Roman" w:eastAsia="宋体" w:cs="Times New Roman"/>
          <w:highlight w:val="none"/>
          <w:lang w:val="en-US" w:eastAsia="zh-CN"/>
        </w:rPr>
      </w:pPr>
      <w:r>
        <w:rPr>
          <w:rFonts w:hint="default" w:ascii="Times New Roman" w:hAnsi="Times New Roman" w:cs="Times New Roman"/>
          <w:highlight w:val="none"/>
        </w:rPr>
        <w:t>GB/T 24067</w:t>
      </w:r>
      <w:r>
        <w:rPr>
          <w:rFonts w:hint="eastAsia" w:cs="Times New Roman"/>
          <w:highlight w:val="none"/>
          <w:lang w:val="en-US" w:eastAsia="zh-CN"/>
        </w:rPr>
        <w:t xml:space="preserve"> 温室气体 产品碳足迹 量化要求和指南</w:t>
      </w:r>
    </w:p>
    <w:p w14:paraId="2137493C">
      <w:pPr>
        <w:ind w:firstLine="420" w:firstLineChars="200"/>
        <w:rPr>
          <w:rFonts w:hint="default" w:ascii="Times New Roman" w:hAnsi="Times New Roman" w:eastAsia="宋体" w:cs="Times New Roman"/>
          <w:highlight w:val="none"/>
          <w:lang w:val="en-US" w:eastAsia="zh-CN"/>
        </w:rPr>
      </w:pPr>
      <w:r>
        <w:rPr>
          <w:rFonts w:hint="default" w:ascii="Times New Roman" w:hAnsi="Times New Roman" w:cs="Times New Roman"/>
          <w:highlight w:val="none"/>
        </w:rPr>
        <w:t>GB/T 32150</w:t>
      </w:r>
      <w:r>
        <w:rPr>
          <w:rFonts w:hint="default" w:ascii="Times New Roman" w:hAnsi="Times New Roman" w:cs="Times New Roman"/>
          <w:highlight w:val="none"/>
          <w:lang w:val="en-US" w:eastAsia="zh-CN"/>
        </w:rPr>
        <w:t xml:space="preserve"> 工业企业温室气体排放核算和报告通则</w:t>
      </w:r>
    </w:p>
    <w:p w14:paraId="139AC13B">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rPr>
        <w:t>GB/T 32151.5</w:t>
      </w:r>
      <w:r>
        <w:rPr>
          <w:rFonts w:hint="default" w:ascii="Times New Roman" w:hAnsi="Times New Roman" w:cs="Times New Roman"/>
          <w:highlight w:val="none"/>
          <w:lang w:val="en-US" w:eastAsia="zh-CN"/>
        </w:rPr>
        <w:t xml:space="preserve"> 温室气体排放核算与报告要求 第5部分：钢铁生产企业</w:t>
      </w:r>
    </w:p>
    <w:p w14:paraId="4223D29B">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GBT 33755</w:t>
      </w:r>
      <w:r>
        <w:rPr>
          <w:rFonts w:hint="eastAsia" w:cs="Times New Roman"/>
          <w:highlight w:val="none"/>
          <w:lang w:val="en-US" w:eastAsia="zh-CN"/>
        </w:rPr>
        <w:t xml:space="preserve"> 基于项目的温室气体减排量评估技术规范 钢铁行业余能利用</w:t>
      </w:r>
    </w:p>
    <w:p w14:paraId="166E7A96">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GB/T 33760</w:t>
      </w:r>
      <w:r>
        <w:rPr>
          <w:rFonts w:hint="eastAsia" w:cs="Times New Roman"/>
          <w:highlight w:val="none"/>
          <w:lang w:val="en-US" w:eastAsia="zh-CN"/>
        </w:rPr>
        <w:t xml:space="preserve"> 基于项目的温室气体减排量评估技术规范 通用要求</w:t>
      </w:r>
    </w:p>
    <w:p w14:paraId="4777D0EC">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T/CCAA 39-2022</w:t>
      </w:r>
      <w:r>
        <w:rPr>
          <w:rFonts w:hint="eastAsia" w:cs="Times New Roman"/>
          <w:highlight w:val="none"/>
          <w:lang w:val="en-US" w:eastAsia="zh-CN"/>
        </w:rPr>
        <w:t xml:space="preserve"> 碳管理体系 要求</w:t>
      </w:r>
    </w:p>
    <w:p w14:paraId="35550D4D">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T/CISA 452</w:t>
      </w:r>
      <w:r>
        <w:rPr>
          <w:rFonts w:hint="eastAsia" w:cs="Times New Roman"/>
          <w:highlight w:val="none"/>
          <w:lang w:val="en-US" w:eastAsia="zh-CN"/>
        </w:rPr>
        <w:t xml:space="preserve"> 低碳排放钢</w:t>
      </w:r>
    </w:p>
    <w:p w14:paraId="3274AA28">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ISO IWA 48</w:t>
      </w:r>
      <w:r>
        <w:rPr>
          <w:rFonts w:hint="eastAsia" w:cs="Times New Roman"/>
          <w:highlight w:val="none"/>
          <w:lang w:val="en-US" w:eastAsia="zh-CN"/>
        </w:rPr>
        <w:t>:</w:t>
      </w:r>
      <w:r>
        <w:rPr>
          <w:rFonts w:hint="default" w:ascii="Times New Roman" w:hAnsi="Times New Roman" w:cs="Times New Roman"/>
          <w:highlight w:val="none"/>
          <w:lang w:val="en-US" w:eastAsia="zh-CN"/>
        </w:rPr>
        <w:t>2024</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实施环境、社会和治理原则的框架</w:t>
      </w:r>
      <w:r>
        <w:rPr>
          <w:rFonts w:hint="eastAsia" w:cs="Times New Roman"/>
          <w:highlight w:val="none"/>
          <w:lang w:val="en-US" w:eastAsia="zh-CN"/>
        </w:rPr>
        <w:t>（Framework for Implementing Environmental, Social and Governance (ESG) Principles）</w:t>
      </w:r>
    </w:p>
    <w:p w14:paraId="77737DB3">
      <w:pPr>
        <w:pStyle w:val="46"/>
        <w:spacing w:before="312" w:after="312"/>
        <w:outlineLvl w:val="0"/>
        <w:rPr>
          <w:highlight w:val="none"/>
        </w:rPr>
      </w:pPr>
      <w:bookmarkStart w:id="25" w:name="_Toc52288518"/>
      <w:bookmarkStart w:id="26" w:name="_Toc32257"/>
      <w:bookmarkStart w:id="27" w:name="_Toc2523"/>
      <w:bookmarkStart w:id="28" w:name="_Toc44414105"/>
      <w:r>
        <w:rPr>
          <w:rFonts w:hint="eastAsia"/>
          <w:highlight w:val="none"/>
        </w:rPr>
        <w:t>术</w:t>
      </w:r>
      <w:r>
        <w:rPr>
          <w:highlight w:val="none"/>
        </w:rPr>
        <w:t>语和定</w:t>
      </w:r>
      <w:r>
        <w:rPr>
          <w:rFonts w:hint="eastAsia"/>
          <w:highlight w:val="none"/>
        </w:rPr>
        <w:t>义</w:t>
      </w:r>
      <w:bookmarkEnd w:id="25"/>
      <w:bookmarkEnd w:id="26"/>
      <w:bookmarkEnd w:id="27"/>
      <w:bookmarkEnd w:id="28"/>
    </w:p>
    <w:p w14:paraId="24AA42D3">
      <w:pPr>
        <w:ind w:firstLine="420" w:firstLineChars="200"/>
        <w:rPr>
          <w:rFonts w:hint="eastAsia" w:ascii="宋体" w:hAnsi="宋体" w:cs="宋体"/>
          <w:highlight w:val="none"/>
        </w:rPr>
      </w:pPr>
      <w:r>
        <w:rPr>
          <w:rFonts w:hint="default" w:ascii="Times New Roman" w:hAnsi="Times New Roman" w:cs="Times New Roman"/>
          <w:highlight w:val="none"/>
          <w:lang w:val="en-US" w:eastAsia="zh-CN"/>
        </w:rPr>
        <w:t>T/CCAA 39</w:t>
      </w:r>
      <w:r>
        <w:rPr>
          <w:rFonts w:hint="eastAsia" w:ascii="宋体" w:hAnsi="宋体" w:cs="宋体"/>
          <w:highlight w:val="none"/>
        </w:rPr>
        <w:t>界定的术语和定义适用于本文件。</w:t>
      </w:r>
    </w:p>
    <w:p w14:paraId="3D7584A2">
      <w:pPr>
        <w:pStyle w:val="46"/>
        <w:spacing w:before="312" w:after="312"/>
        <w:outlineLvl w:val="0"/>
        <w:rPr>
          <w:highlight w:val="none"/>
        </w:rPr>
      </w:pPr>
      <w:bookmarkStart w:id="29" w:name="_Toc13745"/>
      <w:r>
        <w:rPr>
          <w:rFonts w:hint="eastAsia" w:ascii="Times New Roman"/>
          <w:color w:val="000000" w:themeColor="text1"/>
          <w:highlight w:val="none"/>
          <w14:textFill>
            <w14:solidFill>
              <w14:schemeClr w14:val="tx1"/>
            </w14:solidFill>
          </w14:textFill>
        </w:rPr>
        <w:t>组织所处的环境</w:t>
      </w:r>
      <w:bookmarkEnd w:id="29"/>
    </w:p>
    <w:p w14:paraId="606E18BC">
      <w:pPr>
        <w:pStyle w:val="43"/>
        <w:spacing w:before="156" w:after="156"/>
        <w:outlineLvl w:val="9"/>
        <w:rPr>
          <w:rFonts w:ascii="宋体" w:eastAsia="宋体"/>
          <w:bCs/>
          <w:szCs w:val="22"/>
          <w:highlight w:val="none"/>
        </w:rPr>
      </w:pPr>
      <w:bookmarkStart w:id="30" w:name="_Toc45628255"/>
      <w:bookmarkStart w:id="31" w:name="_Toc45633639"/>
      <w:bookmarkStart w:id="32" w:name="_Toc51059393"/>
      <w:bookmarkStart w:id="33" w:name="_Toc39751686"/>
      <w:bookmarkStart w:id="34" w:name="_Hlk44494585"/>
      <w:r>
        <w:rPr>
          <w:rFonts w:hint="eastAsia" w:ascii="宋体" w:eastAsia="宋体"/>
          <w:bCs/>
          <w:szCs w:val="22"/>
          <w:highlight w:val="none"/>
        </w:rPr>
        <w:t>理解组织及其环境</w:t>
      </w:r>
    </w:p>
    <w:p w14:paraId="43169080">
      <w:pPr>
        <w:pStyle w:val="169"/>
        <w:bidi w:val="0"/>
        <w:ind w:left="0" w:leftChars="0" w:firstLine="0" w:firstLineChars="0"/>
        <w:rPr>
          <w:rFonts w:hint="eastAsia"/>
          <w:highlight w:val="none"/>
        </w:rPr>
      </w:pPr>
      <w:r>
        <w:rPr>
          <w:rFonts w:hint="eastAsia"/>
          <w:highlight w:val="none"/>
        </w:rPr>
        <w:t>组织</w:t>
      </w:r>
      <w:r>
        <w:rPr>
          <w:rFonts w:hint="eastAsia"/>
          <w:highlight w:val="none"/>
          <w:lang w:val="en-US" w:eastAsia="zh-CN"/>
        </w:rPr>
        <w:t>在建立、实施、保持并持续改进碳管理体系时，应充分理解自身及其所处的具体环境，考虑与其战略宗旨相关并影响其实现碳管理体系预期结果的能力的内部因素和外部因素。</w:t>
      </w:r>
    </w:p>
    <w:p w14:paraId="5FE0DD20">
      <w:pPr>
        <w:pStyle w:val="169"/>
        <w:bidi w:val="0"/>
        <w:ind w:left="0" w:leftChars="0" w:firstLine="0" w:firstLineChars="0"/>
        <w:rPr>
          <w:rFonts w:hint="default"/>
          <w:highlight w:val="none"/>
        </w:rPr>
      </w:pPr>
      <w:r>
        <w:rPr>
          <w:rFonts w:hint="default"/>
          <w:highlight w:val="none"/>
        </w:rPr>
        <w:t>宜考虑的外部因素包括国际、国内</w:t>
      </w:r>
      <w:r>
        <w:rPr>
          <w:rFonts w:hint="eastAsia"/>
          <w:highlight w:val="none"/>
          <w:lang w:val="en-US" w:eastAsia="zh-CN"/>
        </w:rPr>
        <w:t>及</w:t>
      </w:r>
      <w:r>
        <w:rPr>
          <w:rFonts w:hint="default"/>
          <w:highlight w:val="none"/>
        </w:rPr>
        <w:t>地区的相关政策、法律法规</w:t>
      </w:r>
      <w:r>
        <w:rPr>
          <w:rFonts w:hint="eastAsia"/>
          <w:highlight w:val="none"/>
          <w:lang w:val="en-US" w:eastAsia="zh-CN"/>
        </w:rPr>
        <w:t>等，</w:t>
      </w:r>
      <w:r>
        <w:rPr>
          <w:rFonts w:hint="default"/>
          <w:highlight w:val="none"/>
        </w:rPr>
        <w:t>具体可体现为</w:t>
      </w:r>
      <w:r>
        <w:rPr>
          <w:rFonts w:hint="eastAsia"/>
          <w:highlight w:val="none"/>
          <w:lang w:eastAsia="zh-CN"/>
        </w:rPr>
        <w:t>：</w:t>
      </w:r>
    </w:p>
    <w:p w14:paraId="69590764">
      <w:pPr>
        <w:ind w:firstLine="420" w:firstLineChars="200"/>
        <w:rPr>
          <w:rFonts w:hint="default" w:ascii="Times New Roman" w:hAnsi="Times New Roman" w:cs="Times New Roman"/>
          <w:highlight w:val="none"/>
          <w:lang w:eastAsia="zh-CN"/>
        </w:rPr>
      </w:pPr>
      <w:r>
        <w:rPr>
          <w:rFonts w:hint="default" w:ascii="Times New Roman" w:hAnsi="Times New Roman" w:cs="Times New Roman"/>
          <w:highlight w:val="none"/>
          <w:lang w:val="en-US" w:eastAsia="zh-CN"/>
        </w:rPr>
        <w:t>a</w:t>
      </w:r>
      <w:r>
        <w:rPr>
          <w:rFonts w:hint="default" w:ascii="Times New Roman" w:hAnsi="Times New Roman" w:cs="Times New Roman"/>
          <w:highlight w:val="none"/>
          <w:lang w:eastAsia="zh-CN"/>
        </w:rPr>
        <w:t>）</w:t>
      </w:r>
      <w:r>
        <w:rPr>
          <w:rFonts w:hint="default" w:ascii="Times New Roman" w:hAnsi="Times New Roman" w:cs="Times New Roman"/>
          <w:highlight w:val="none"/>
        </w:rPr>
        <w:t>国际碳相关政策法规及标准要求</w:t>
      </w:r>
      <w:r>
        <w:rPr>
          <w:rFonts w:hint="default" w:ascii="Times New Roman" w:hAnsi="Times New Roman" w:cs="Times New Roman"/>
          <w:highlight w:val="none"/>
          <w:lang w:eastAsia="zh-CN"/>
        </w:rPr>
        <w:t>，</w:t>
      </w:r>
      <w:r>
        <w:rPr>
          <w:rFonts w:hint="default" w:ascii="Times New Roman" w:hAnsi="Times New Roman" w:cs="Times New Roman"/>
          <w:highlight w:val="none"/>
        </w:rPr>
        <w:t>包括但不限于</w:t>
      </w:r>
      <w:r>
        <w:rPr>
          <w:rFonts w:hint="default" w:ascii="Times New Roman" w:hAnsi="Times New Roman" w:cs="Times New Roman"/>
          <w:highlight w:val="none"/>
          <w:lang w:eastAsia="zh-CN"/>
        </w:rPr>
        <w:t>：</w:t>
      </w:r>
    </w:p>
    <w:p w14:paraId="33CD1D4E">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eastAsia="zh-CN"/>
        </w:rPr>
        <w:t>——</w:t>
      </w:r>
      <w:r>
        <w:rPr>
          <w:rFonts w:hint="eastAsia" w:cs="Times New Roman"/>
          <w:highlight w:val="none"/>
          <w:lang w:val="en-US" w:eastAsia="zh-CN"/>
        </w:rPr>
        <w:t>国际贸易规则，如欧盟碳边境调节机制（CBAM）、《通胀削减法案》；</w:t>
      </w:r>
    </w:p>
    <w:p w14:paraId="620A84B1">
      <w:pPr>
        <w:ind w:firstLine="420" w:firstLineChars="200"/>
        <w:rPr>
          <w:rFonts w:hint="default" w:ascii="Times New Roman" w:hAnsi="Times New Roman" w:cs="Times New Roman"/>
          <w:highlight w:val="none"/>
          <w:lang w:eastAsia="zh-CN"/>
        </w:rPr>
      </w:pPr>
      <w:r>
        <w:rPr>
          <w:rFonts w:hint="default" w:ascii="Times New Roman" w:hAnsi="Times New Roman" w:cs="Times New Roman"/>
          <w:highlight w:val="none"/>
          <w:lang w:eastAsia="zh-CN"/>
        </w:rPr>
        <w:t>——</w:t>
      </w:r>
      <w:r>
        <w:rPr>
          <w:rFonts w:hint="default" w:ascii="Times New Roman" w:hAnsi="Times New Roman" w:cs="Times New Roman"/>
          <w:highlight w:val="none"/>
        </w:rPr>
        <w:t>国际产品</w:t>
      </w:r>
      <w:r>
        <w:rPr>
          <w:rFonts w:hint="default" w:ascii="Times New Roman" w:hAnsi="Times New Roman" w:cs="Times New Roman"/>
          <w:highlight w:val="none"/>
          <w:lang w:val="en-US" w:eastAsia="zh-CN"/>
        </w:rPr>
        <w:t>碳足迹</w:t>
      </w:r>
      <w:r>
        <w:rPr>
          <w:rFonts w:hint="default" w:ascii="Times New Roman" w:hAnsi="Times New Roman" w:cs="Times New Roman"/>
          <w:highlight w:val="none"/>
        </w:rPr>
        <w:t>和</w:t>
      </w:r>
      <w:r>
        <w:rPr>
          <w:rFonts w:hint="default" w:ascii="Times New Roman" w:hAnsi="Times New Roman" w:cs="Times New Roman"/>
          <w:highlight w:val="none"/>
          <w:lang w:val="en-US" w:eastAsia="zh-CN"/>
        </w:rPr>
        <w:t>绿色</w:t>
      </w:r>
      <w:r>
        <w:rPr>
          <w:rFonts w:hint="eastAsia" w:cs="Times New Roman"/>
          <w:highlight w:val="none"/>
          <w:lang w:val="en-US" w:eastAsia="zh-CN"/>
        </w:rPr>
        <w:t>低碳产品认证</w:t>
      </w:r>
      <w:r>
        <w:rPr>
          <w:rFonts w:hint="eastAsia" w:cs="Times New Roman"/>
          <w:highlight w:val="none"/>
          <w:lang w:eastAsia="zh-CN"/>
        </w:rPr>
        <w:t>，</w:t>
      </w:r>
      <w:r>
        <w:rPr>
          <w:rFonts w:hint="eastAsia" w:cs="Times New Roman"/>
          <w:highlight w:val="none"/>
          <w:lang w:val="en-US" w:eastAsia="zh-CN"/>
        </w:rPr>
        <w:t>如低碳钢铁标准（LESS）</w:t>
      </w:r>
      <w:r>
        <w:rPr>
          <w:rFonts w:hint="default" w:ascii="Times New Roman" w:hAnsi="Times New Roman" w:cs="Times New Roman"/>
          <w:highlight w:val="none"/>
          <w:lang w:eastAsia="zh-CN"/>
        </w:rPr>
        <w:t>；</w:t>
      </w:r>
    </w:p>
    <w:p w14:paraId="0105A347">
      <w:pPr>
        <w:ind w:firstLine="420" w:firstLineChars="200"/>
        <w:rPr>
          <w:rFonts w:hint="default" w:ascii="Times New Roman" w:hAnsi="Times New Roman" w:cs="Times New Roman"/>
          <w:highlight w:val="none"/>
          <w:lang w:eastAsia="zh-CN"/>
        </w:rPr>
      </w:pPr>
      <w:r>
        <w:rPr>
          <w:rFonts w:hint="default" w:ascii="Times New Roman" w:hAnsi="Times New Roman" w:cs="Times New Roman"/>
          <w:highlight w:val="none"/>
          <w:lang w:eastAsia="zh-CN"/>
        </w:rPr>
        <w:t>——</w:t>
      </w:r>
      <w:r>
        <w:rPr>
          <w:rFonts w:hint="default" w:ascii="Times New Roman" w:hAnsi="Times New Roman" w:cs="Times New Roman"/>
          <w:highlight w:val="none"/>
        </w:rPr>
        <w:t>国际碳信息披露机制要求</w:t>
      </w:r>
      <w:r>
        <w:rPr>
          <w:rFonts w:hint="eastAsia" w:cs="Times New Roman"/>
          <w:highlight w:val="none"/>
          <w:lang w:eastAsia="zh-CN"/>
        </w:rPr>
        <w:t>，</w:t>
      </w:r>
      <w:r>
        <w:rPr>
          <w:rFonts w:hint="eastAsia" w:cs="Times New Roman"/>
          <w:highlight w:val="none"/>
          <w:lang w:val="en-US" w:eastAsia="zh-CN"/>
        </w:rPr>
        <w:t>如ISO IWA 48:2024</w:t>
      </w:r>
      <w:r>
        <w:rPr>
          <w:rFonts w:hint="default" w:ascii="Times New Roman" w:hAnsi="Times New Roman" w:cs="Times New Roman"/>
          <w:highlight w:val="none"/>
          <w:lang w:eastAsia="zh-CN"/>
        </w:rPr>
        <w:t>；</w:t>
      </w:r>
    </w:p>
    <w:p w14:paraId="71D6FC2D">
      <w:pPr>
        <w:ind w:firstLine="420" w:firstLineChars="200"/>
        <w:rPr>
          <w:rFonts w:hint="default" w:ascii="Times New Roman" w:hAnsi="Times New Roman" w:cs="Times New Roman"/>
          <w:highlight w:val="none"/>
          <w:lang w:eastAsia="zh-CN"/>
        </w:rPr>
      </w:pPr>
      <w:r>
        <w:rPr>
          <w:rFonts w:hint="default" w:ascii="Times New Roman" w:hAnsi="Times New Roman" w:cs="Times New Roman"/>
          <w:highlight w:val="none"/>
          <w:lang w:eastAsia="zh-CN"/>
        </w:rPr>
        <w:t>——</w:t>
      </w:r>
      <w:r>
        <w:rPr>
          <w:rFonts w:hint="default" w:ascii="Times New Roman" w:hAnsi="Times New Roman" w:cs="Times New Roman"/>
          <w:highlight w:val="none"/>
        </w:rPr>
        <w:t>国际碳</w:t>
      </w:r>
      <w:r>
        <w:rPr>
          <w:rFonts w:hint="default" w:ascii="Times New Roman" w:hAnsi="Times New Roman" w:cs="Times New Roman"/>
          <w:highlight w:val="none"/>
          <w:lang w:val="en-US" w:eastAsia="zh-CN"/>
        </w:rPr>
        <w:t>排放权</w:t>
      </w:r>
      <w:r>
        <w:rPr>
          <w:rFonts w:hint="eastAsia" w:cs="Times New Roman"/>
          <w:highlight w:val="none"/>
          <w:lang w:val="en-US" w:eastAsia="zh-CN"/>
        </w:rPr>
        <w:t>交易体系</w:t>
      </w:r>
      <w:r>
        <w:rPr>
          <w:rFonts w:hint="eastAsia" w:cs="Times New Roman"/>
          <w:highlight w:val="none"/>
          <w:lang w:eastAsia="zh-CN"/>
        </w:rPr>
        <w:t>。</w:t>
      </w:r>
    </w:p>
    <w:p w14:paraId="1748274C">
      <w:pPr>
        <w:ind w:firstLine="420" w:firstLineChars="200"/>
        <w:rPr>
          <w:rFonts w:hint="default" w:ascii="Times New Roman" w:hAnsi="Times New Roman" w:cs="Times New Roman"/>
          <w:highlight w:val="none"/>
          <w:lang w:eastAsia="zh-CN"/>
        </w:rPr>
      </w:pPr>
      <w:r>
        <w:rPr>
          <w:rFonts w:hint="default" w:ascii="Times New Roman" w:hAnsi="Times New Roman" w:cs="Times New Roman"/>
          <w:highlight w:val="none"/>
          <w:lang w:val="en-US" w:eastAsia="zh-CN"/>
        </w:rPr>
        <w:t>b</w:t>
      </w:r>
      <w:r>
        <w:rPr>
          <w:rFonts w:hint="default" w:ascii="Times New Roman" w:hAnsi="Times New Roman" w:cs="Times New Roman"/>
          <w:highlight w:val="none"/>
          <w:lang w:eastAsia="zh-CN"/>
        </w:rPr>
        <w:t>）</w:t>
      </w:r>
      <w:r>
        <w:rPr>
          <w:rFonts w:hint="default" w:ascii="Times New Roman" w:hAnsi="Times New Roman" w:cs="Times New Roman"/>
          <w:highlight w:val="none"/>
        </w:rPr>
        <w:t>国内</w:t>
      </w:r>
      <w:r>
        <w:rPr>
          <w:rFonts w:hint="default" w:ascii="Times New Roman" w:hAnsi="Times New Roman" w:cs="Times New Roman"/>
          <w:highlight w:val="none"/>
          <w:lang w:val="en-US" w:eastAsia="zh-CN"/>
        </w:rPr>
        <w:t>及地区</w:t>
      </w:r>
      <w:r>
        <w:rPr>
          <w:rFonts w:hint="default" w:ascii="Times New Roman" w:hAnsi="Times New Roman" w:cs="Times New Roman"/>
          <w:highlight w:val="none"/>
        </w:rPr>
        <w:t>双碳政策法规及标准要求</w:t>
      </w:r>
      <w:r>
        <w:rPr>
          <w:rFonts w:hint="default" w:ascii="Times New Roman" w:hAnsi="Times New Roman" w:cs="Times New Roman"/>
          <w:highlight w:val="none"/>
          <w:lang w:eastAsia="zh-CN"/>
        </w:rPr>
        <w:t>，</w:t>
      </w:r>
      <w:r>
        <w:rPr>
          <w:rFonts w:hint="default" w:ascii="Times New Roman" w:hAnsi="Times New Roman" w:cs="Times New Roman"/>
          <w:highlight w:val="none"/>
        </w:rPr>
        <w:t>包括但不限于</w:t>
      </w:r>
      <w:r>
        <w:rPr>
          <w:rFonts w:hint="default" w:ascii="Times New Roman" w:hAnsi="Times New Roman" w:cs="Times New Roman"/>
          <w:highlight w:val="none"/>
          <w:lang w:eastAsia="zh-CN"/>
        </w:rPr>
        <w:t>：</w:t>
      </w:r>
    </w:p>
    <w:p w14:paraId="68E90144">
      <w:pPr>
        <w:ind w:firstLine="420" w:firstLineChars="200"/>
        <w:rPr>
          <w:rFonts w:hint="default" w:ascii="Times New Roman" w:hAnsi="Times New Roman" w:cs="Times New Roman"/>
          <w:highlight w:val="none"/>
          <w:lang w:eastAsia="zh-CN"/>
        </w:rPr>
      </w:pPr>
      <w:r>
        <w:rPr>
          <w:rFonts w:hint="default" w:ascii="Times New Roman" w:hAnsi="Times New Roman" w:cs="Times New Roman"/>
          <w:highlight w:val="none"/>
          <w:lang w:eastAsia="zh-CN"/>
        </w:rPr>
        <w:t>——相关的法律法规，如碳排放权交易管理暂行条例</w:t>
      </w:r>
    </w:p>
    <w:p w14:paraId="1EFC3FE9">
      <w:pPr>
        <w:ind w:firstLine="420" w:firstLineChars="200"/>
        <w:rPr>
          <w:rFonts w:hint="default" w:ascii="Times New Roman" w:hAnsi="Times New Roman" w:cs="Times New Roman"/>
          <w:highlight w:val="none"/>
          <w:lang w:eastAsia="zh-CN"/>
        </w:rPr>
      </w:pPr>
      <w:r>
        <w:rPr>
          <w:rFonts w:hint="default" w:ascii="Times New Roman" w:hAnsi="Times New Roman" w:cs="Times New Roman"/>
          <w:highlight w:val="none"/>
          <w:lang w:eastAsia="zh-CN"/>
        </w:rPr>
        <w:t>——</w:t>
      </w:r>
      <w:r>
        <w:rPr>
          <w:rFonts w:hint="default" w:ascii="Times New Roman" w:hAnsi="Times New Roman" w:cs="Times New Roman"/>
          <w:highlight w:val="none"/>
        </w:rPr>
        <w:t>国家双碳政策体系及相关行业双碳政策要求</w:t>
      </w:r>
      <w:r>
        <w:rPr>
          <w:rFonts w:hint="default" w:ascii="Times New Roman" w:hAnsi="Times New Roman" w:cs="Times New Roman"/>
          <w:highlight w:val="none"/>
          <w:lang w:eastAsia="zh-CN"/>
        </w:rPr>
        <w:t>；</w:t>
      </w:r>
    </w:p>
    <w:p w14:paraId="382E6D6D">
      <w:pPr>
        <w:ind w:firstLine="420" w:firstLineChars="200"/>
        <w:rPr>
          <w:rFonts w:hint="default" w:ascii="Times New Roman" w:hAnsi="Times New Roman" w:cs="Times New Roman"/>
          <w:highlight w:val="none"/>
          <w:lang w:eastAsia="zh-CN"/>
        </w:rPr>
      </w:pPr>
      <w:r>
        <w:rPr>
          <w:rFonts w:hint="default" w:ascii="Times New Roman" w:hAnsi="Times New Roman" w:cs="Times New Roman"/>
          <w:highlight w:val="none"/>
          <w:lang w:eastAsia="zh-CN"/>
        </w:rPr>
        <w:t>——</w:t>
      </w:r>
      <w:r>
        <w:rPr>
          <w:rFonts w:hint="default" w:ascii="Times New Roman" w:hAnsi="Times New Roman" w:cs="Times New Roman"/>
          <w:highlight w:val="none"/>
        </w:rPr>
        <w:t>国家碳交易和自愿减排交易相关政策</w:t>
      </w:r>
      <w:r>
        <w:rPr>
          <w:rFonts w:hint="eastAsia" w:cs="Times New Roman"/>
          <w:highlight w:val="none"/>
          <w:lang w:eastAsia="zh-CN"/>
        </w:rPr>
        <w:t>，</w:t>
      </w:r>
      <w:r>
        <w:rPr>
          <w:rFonts w:hint="eastAsia" w:cs="Times New Roman"/>
          <w:highlight w:val="none"/>
          <w:lang w:val="en-US" w:eastAsia="zh-CN"/>
        </w:rPr>
        <w:t>如《全国碳排放权交易市场覆盖钢铁、水泥、铝冶炼行业工作方案》、《企业温室气体排放核算与报告指南 钢铁行业》（CETS—AG—03.01—V01—2024）、《企业温室气体排放核查技术指南 钢铁行业》（CETS-VG-03.01-V01-2024）</w:t>
      </w:r>
      <w:r>
        <w:rPr>
          <w:rFonts w:hint="default" w:ascii="Times New Roman" w:hAnsi="Times New Roman" w:cs="Times New Roman"/>
          <w:highlight w:val="none"/>
          <w:lang w:eastAsia="zh-CN"/>
        </w:rPr>
        <w:t>；</w:t>
      </w:r>
    </w:p>
    <w:p w14:paraId="727394CF">
      <w:pPr>
        <w:ind w:firstLine="420" w:firstLineChars="200"/>
        <w:rPr>
          <w:rFonts w:hint="default" w:ascii="Times New Roman" w:hAnsi="Times New Roman" w:cs="Times New Roman"/>
          <w:highlight w:val="none"/>
          <w:lang w:eastAsia="zh-CN"/>
        </w:rPr>
      </w:pPr>
      <w:r>
        <w:rPr>
          <w:rFonts w:hint="default" w:ascii="Times New Roman" w:hAnsi="Times New Roman" w:cs="Times New Roman"/>
          <w:highlight w:val="none"/>
          <w:lang w:eastAsia="zh-CN"/>
        </w:rPr>
        <w:t>——</w:t>
      </w:r>
      <w:r>
        <w:rPr>
          <w:rFonts w:hint="default" w:ascii="Times New Roman" w:hAnsi="Times New Roman" w:cs="Times New Roman"/>
          <w:highlight w:val="none"/>
        </w:rPr>
        <w:t>国</w:t>
      </w:r>
      <w:r>
        <w:rPr>
          <w:rFonts w:hint="eastAsia" w:cs="Times New Roman"/>
          <w:highlight w:val="none"/>
          <w:lang w:val="en-US" w:eastAsia="zh-CN"/>
        </w:rPr>
        <w:t>内</w:t>
      </w:r>
      <w:r>
        <w:rPr>
          <w:rFonts w:hint="default" w:ascii="Times New Roman" w:hAnsi="Times New Roman" w:cs="Times New Roman"/>
          <w:highlight w:val="none"/>
        </w:rPr>
        <w:t>产品碳足迹</w:t>
      </w:r>
      <w:r>
        <w:rPr>
          <w:rFonts w:hint="eastAsia" w:cs="Times New Roman"/>
          <w:highlight w:val="none"/>
          <w:lang w:val="en-US" w:eastAsia="zh-CN"/>
        </w:rPr>
        <w:t>及绿色低碳产品</w:t>
      </w:r>
      <w:r>
        <w:rPr>
          <w:rFonts w:hint="default" w:ascii="Times New Roman" w:hAnsi="Times New Roman" w:cs="Times New Roman"/>
          <w:highlight w:val="none"/>
        </w:rPr>
        <w:t>相关政策</w:t>
      </w:r>
      <w:r>
        <w:rPr>
          <w:rFonts w:hint="eastAsia" w:cs="Times New Roman"/>
          <w:highlight w:val="none"/>
          <w:lang w:val="en-US" w:eastAsia="zh-CN"/>
        </w:rPr>
        <w:t>标准</w:t>
      </w:r>
      <w:r>
        <w:rPr>
          <w:rFonts w:hint="default" w:ascii="Times New Roman" w:hAnsi="Times New Roman" w:cs="Times New Roman"/>
          <w:highlight w:val="none"/>
        </w:rPr>
        <w:t>要求</w:t>
      </w:r>
      <w:r>
        <w:rPr>
          <w:rFonts w:hint="eastAsia" w:cs="Times New Roman"/>
          <w:highlight w:val="none"/>
          <w:lang w:eastAsia="zh-CN"/>
        </w:rPr>
        <w:t>，</w:t>
      </w:r>
      <w:r>
        <w:rPr>
          <w:rFonts w:hint="eastAsia" w:cs="Times New Roman"/>
          <w:highlight w:val="none"/>
          <w:lang w:val="en-US" w:eastAsia="zh-CN"/>
        </w:rPr>
        <w:t>如T/CISA 452</w:t>
      </w:r>
      <w:r>
        <w:rPr>
          <w:rFonts w:hint="default" w:ascii="Times New Roman" w:hAnsi="Times New Roman" w:cs="Times New Roman"/>
          <w:highlight w:val="none"/>
          <w:lang w:eastAsia="zh-CN"/>
        </w:rPr>
        <w:t>；</w:t>
      </w:r>
    </w:p>
    <w:p w14:paraId="0A2393E5">
      <w:pPr>
        <w:ind w:firstLine="420" w:firstLineChars="200"/>
        <w:rPr>
          <w:rFonts w:hint="eastAsia" w:cs="Times New Roman"/>
          <w:highlight w:val="none"/>
          <w:lang w:val="en-US" w:eastAsia="zh-CN"/>
        </w:rPr>
      </w:pPr>
      <w:r>
        <w:rPr>
          <w:rFonts w:hint="default" w:ascii="Times New Roman" w:hAnsi="Times New Roman" w:cs="Times New Roman"/>
          <w:highlight w:val="none"/>
          <w:lang w:val="en-US" w:eastAsia="zh-CN"/>
        </w:rPr>
        <w:t>——</w:t>
      </w:r>
      <w:r>
        <w:rPr>
          <w:rFonts w:hint="eastAsia" w:cs="Times New Roman"/>
          <w:highlight w:val="none"/>
          <w:lang w:val="en-US" w:eastAsia="zh-CN"/>
        </w:rPr>
        <w:t>节能低碳技术发展；</w:t>
      </w:r>
    </w:p>
    <w:p w14:paraId="237FE7D7">
      <w:pPr>
        <w:ind w:firstLine="420" w:firstLineChars="200"/>
        <w:rPr>
          <w:rFonts w:hint="eastAsia" w:cs="Times New Roman"/>
          <w:highlight w:val="none"/>
          <w:lang w:val="en-US" w:eastAsia="zh-CN"/>
        </w:rPr>
      </w:pPr>
      <w:r>
        <w:rPr>
          <w:rFonts w:hint="default" w:ascii="Times New Roman" w:hAnsi="Times New Roman" w:cs="Times New Roman"/>
          <w:highlight w:val="none"/>
          <w:lang w:val="en-US" w:eastAsia="zh-CN"/>
        </w:rPr>
        <w:t>——</w:t>
      </w:r>
      <w:r>
        <w:rPr>
          <w:rFonts w:hint="eastAsia" w:cs="Times New Roman"/>
          <w:highlight w:val="none"/>
          <w:lang w:val="en-US" w:eastAsia="zh-CN"/>
        </w:rPr>
        <w:t>国内碳排放核算要求，如GB/T 32151.5；</w:t>
      </w:r>
    </w:p>
    <w:p w14:paraId="5A703F9B">
      <w:pPr>
        <w:ind w:firstLine="420" w:firstLineChars="200"/>
        <w:rPr>
          <w:rFonts w:hint="default" w:cs="Times New Roman"/>
          <w:highlight w:val="none"/>
          <w:lang w:val="en-US" w:eastAsia="zh-CN"/>
        </w:rPr>
      </w:pPr>
      <w:r>
        <w:rPr>
          <w:rFonts w:hint="eastAsia" w:cs="Times New Roman"/>
          <w:highlight w:val="none"/>
          <w:lang w:val="en-US" w:eastAsia="zh-CN"/>
        </w:rPr>
        <w:t>——供应链对碳管理水平的要求。</w:t>
      </w:r>
    </w:p>
    <w:p w14:paraId="4ACF3B58">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宜考虑的内部因素包括碳管理相关的战略、目标宗旨、生产条件、企业文化、知识技能等包括但不限于：</w:t>
      </w:r>
    </w:p>
    <w:p w14:paraId="035E2446">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a）碳管理战略定位及目标；</w:t>
      </w:r>
    </w:p>
    <w:p w14:paraId="3DB89E43">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b</w:t>
      </w:r>
      <w:r>
        <w:rPr>
          <w:rFonts w:hint="default" w:ascii="Times New Roman" w:hAnsi="Times New Roman" w:cs="Times New Roman"/>
          <w:highlight w:val="none"/>
          <w:lang w:val="en-US" w:eastAsia="zh-CN"/>
        </w:rPr>
        <w:t>）工艺装备；</w:t>
      </w:r>
    </w:p>
    <w:p w14:paraId="26561C0B">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c</w:t>
      </w:r>
      <w:r>
        <w:rPr>
          <w:rFonts w:hint="default" w:ascii="Times New Roman" w:hAnsi="Times New Roman" w:cs="Times New Roman"/>
          <w:highlight w:val="none"/>
          <w:lang w:val="en-US" w:eastAsia="zh-CN"/>
        </w:rPr>
        <w:t>）产品品种；</w:t>
      </w:r>
    </w:p>
    <w:p w14:paraId="01593782">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d</w:t>
      </w:r>
      <w:r>
        <w:rPr>
          <w:rFonts w:hint="default" w:ascii="Times New Roman" w:hAnsi="Times New Roman" w:cs="Times New Roman"/>
          <w:highlight w:val="none"/>
          <w:lang w:val="en-US" w:eastAsia="zh-CN"/>
        </w:rPr>
        <w:t>）人员的碳管理能力和意识；</w:t>
      </w:r>
    </w:p>
    <w:p w14:paraId="3D2A1111">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e</w:t>
      </w:r>
      <w:r>
        <w:rPr>
          <w:rFonts w:hint="default" w:ascii="Times New Roman" w:hAnsi="Times New Roman" w:cs="Times New Roman"/>
          <w:highlight w:val="none"/>
          <w:lang w:val="en-US" w:eastAsia="zh-CN"/>
        </w:rPr>
        <w:t>）碳管理资源配置及分配情况；</w:t>
      </w:r>
    </w:p>
    <w:p w14:paraId="4042F1BA">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f</w:t>
      </w:r>
      <w:r>
        <w:rPr>
          <w:rFonts w:hint="default" w:ascii="Times New Roman" w:hAnsi="Times New Roman" w:cs="Times New Roman"/>
          <w:highlight w:val="none"/>
          <w:lang w:val="en-US" w:eastAsia="zh-CN"/>
        </w:rPr>
        <w:t>）碳</w:t>
      </w:r>
      <w:r>
        <w:rPr>
          <w:rFonts w:hint="eastAsia" w:cs="Times New Roman"/>
          <w:highlight w:val="none"/>
          <w:lang w:val="en-US" w:eastAsia="zh-CN"/>
        </w:rPr>
        <w:t>排放</w:t>
      </w:r>
      <w:r>
        <w:rPr>
          <w:rFonts w:hint="default" w:ascii="Times New Roman" w:hAnsi="Times New Roman" w:cs="Times New Roman"/>
          <w:highlight w:val="none"/>
          <w:lang w:val="en-US" w:eastAsia="zh-CN"/>
        </w:rPr>
        <w:t>量化和数据质量管理</w:t>
      </w:r>
      <w:r>
        <w:rPr>
          <w:rFonts w:hint="eastAsia" w:cs="Times New Roman"/>
          <w:highlight w:val="none"/>
          <w:lang w:val="en-US" w:eastAsia="zh-CN"/>
        </w:rPr>
        <w:t>水平</w:t>
      </w:r>
      <w:r>
        <w:rPr>
          <w:rFonts w:hint="default" w:ascii="Times New Roman" w:hAnsi="Times New Roman" w:cs="Times New Roman"/>
          <w:highlight w:val="none"/>
          <w:lang w:val="en-US" w:eastAsia="zh-CN"/>
        </w:rPr>
        <w:t>；</w:t>
      </w:r>
    </w:p>
    <w:p w14:paraId="5DA26D56">
      <w:pPr>
        <w:ind w:firstLine="420" w:firstLineChars="200"/>
        <w:rPr>
          <w:rFonts w:hint="eastAsia" w:cs="Times New Roman"/>
          <w:highlight w:val="none"/>
          <w:lang w:val="en-US" w:eastAsia="zh-CN"/>
        </w:rPr>
      </w:pPr>
      <w:r>
        <w:rPr>
          <w:rFonts w:hint="eastAsia" w:cs="Times New Roman"/>
          <w:highlight w:val="none"/>
          <w:lang w:val="en-US" w:eastAsia="zh-CN"/>
        </w:rPr>
        <w:t>g</w:t>
      </w:r>
      <w:r>
        <w:rPr>
          <w:rFonts w:hint="default" w:ascii="Times New Roman" w:hAnsi="Times New Roman" w:cs="Times New Roman"/>
          <w:highlight w:val="none"/>
          <w:lang w:val="en-US" w:eastAsia="zh-CN"/>
        </w:rPr>
        <w:t>）</w:t>
      </w:r>
      <w:r>
        <w:rPr>
          <w:rFonts w:hint="eastAsia" w:cs="Times New Roman"/>
          <w:highlight w:val="none"/>
          <w:lang w:val="en-US" w:eastAsia="zh-CN"/>
        </w:rPr>
        <w:t>碳计量、监测；</w:t>
      </w:r>
    </w:p>
    <w:p w14:paraId="4B658350">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h）财务状况</w:t>
      </w:r>
      <w:r>
        <w:rPr>
          <w:rFonts w:hint="default" w:ascii="Times New Roman" w:hAnsi="Times New Roman" w:cs="Times New Roman"/>
          <w:highlight w:val="none"/>
          <w:lang w:val="en-US" w:eastAsia="zh-CN"/>
        </w:rPr>
        <w:t>。</w:t>
      </w:r>
    </w:p>
    <w:p w14:paraId="6F75BDA8">
      <w:pPr>
        <w:pStyle w:val="169"/>
        <w:bidi w:val="0"/>
        <w:ind w:left="0" w:leftChars="0" w:firstLine="0" w:firstLineChars="0"/>
        <w:rPr>
          <w:rFonts w:hint="eastAsia"/>
          <w:highlight w:val="none"/>
          <w:lang w:val="en-US" w:eastAsia="zh-CN"/>
        </w:rPr>
      </w:pPr>
      <w:r>
        <w:rPr>
          <w:rFonts w:hint="eastAsia"/>
          <w:highlight w:val="none"/>
          <w:lang w:val="en-US" w:eastAsia="zh-CN"/>
        </w:rPr>
        <w:t>组织应对这些外部和内部因素的相关信息实施监视、评审和更新。</w:t>
      </w:r>
    </w:p>
    <w:p w14:paraId="7AB7D4FC">
      <w:pPr>
        <w:pStyle w:val="43"/>
        <w:spacing w:before="156" w:after="156"/>
        <w:outlineLvl w:val="9"/>
        <w:rPr>
          <w:rFonts w:ascii="宋体" w:eastAsia="宋体"/>
          <w:bCs/>
          <w:szCs w:val="22"/>
          <w:highlight w:val="none"/>
        </w:rPr>
      </w:pPr>
      <w:r>
        <w:rPr>
          <w:rFonts w:hint="eastAsia" w:ascii="宋体" w:eastAsia="宋体"/>
          <w:bCs/>
          <w:szCs w:val="22"/>
          <w:highlight w:val="none"/>
        </w:rPr>
        <w:t>理解相关方的需求和期望</w:t>
      </w:r>
    </w:p>
    <w:p w14:paraId="3482F699">
      <w:pPr>
        <w:pStyle w:val="169"/>
        <w:bidi w:val="0"/>
        <w:ind w:left="0" w:leftChars="0" w:firstLine="0" w:firstLineChars="0"/>
        <w:rPr>
          <w:rFonts w:hint="default"/>
          <w:highlight w:val="none"/>
          <w:lang w:val="en-US" w:eastAsia="zh-CN"/>
        </w:rPr>
      </w:pPr>
      <w:r>
        <w:rPr>
          <w:rFonts w:hint="eastAsia"/>
          <w:highlight w:val="none"/>
          <w:lang w:val="en-US" w:eastAsia="zh-CN"/>
        </w:rPr>
        <w:t>组织应确定对其碳管理体系有影响的相关方，以使组织根据相关方的需求和期望对碳管理体系进行策划，制定方针和目标。与碳管理体系有关的相关方包括但不限于：</w:t>
      </w:r>
    </w:p>
    <w:p w14:paraId="63A7CFEA">
      <w:p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a</w:t>
      </w:r>
      <w:r>
        <w:rPr>
          <w:rFonts w:hint="eastAsia" w:ascii="Times New Roman" w:hAnsi="Times New Roman" w:cs="Times New Roman"/>
          <w:highlight w:val="none"/>
          <w:lang w:val="en-US" w:eastAsia="zh-CN"/>
        </w:rPr>
        <w:t>）</w:t>
      </w:r>
      <w:r>
        <w:rPr>
          <w:rFonts w:hint="eastAsia" w:cs="Times New Roman"/>
          <w:highlight w:val="none"/>
          <w:lang w:val="en-US" w:eastAsia="zh-CN"/>
        </w:rPr>
        <w:t>行政管理部门，如气候变化管理部门、碳交易和自愿减排交易管理部门等</w:t>
      </w:r>
      <w:r>
        <w:rPr>
          <w:rFonts w:hint="eastAsia" w:ascii="Times New Roman" w:hAnsi="Times New Roman" w:cs="Times New Roman"/>
          <w:highlight w:val="none"/>
          <w:lang w:val="en-US" w:eastAsia="zh-CN"/>
        </w:rPr>
        <w:t>；</w:t>
      </w:r>
    </w:p>
    <w:p w14:paraId="3354C3B5">
      <w:p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b</w:t>
      </w:r>
      <w:r>
        <w:rPr>
          <w:rFonts w:hint="eastAsia" w:ascii="Times New Roman" w:hAnsi="Times New Roman" w:cs="Times New Roman"/>
          <w:highlight w:val="none"/>
          <w:lang w:val="en-US" w:eastAsia="zh-CN"/>
        </w:rPr>
        <w:t>）</w:t>
      </w:r>
      <w:r>
        <w:rPr>
          <w:rFonts w:hint="eastAsia" w:cs="Times New Roman"/>
          <w:highlight w:val="none"/>
          <w:lang w:val="en-US" w:eastAsia="zh-CN"/>
        </w:rPr>
        <w:t>投资方</w:t>
      </w:r>
      <w:r>
        <w:rPr>
          <w:rFonts w:hint="eastAsia" w:ascii="Times New Roman" w:hAnsi="Times New Roman" w:cs="Times New Roman"/>
          <w:highlight w:val="none"/>
          <w:lang w:val="en-US" w:eastAsia="zh-CN"/>
        </w:rPr>
        <w:t>；</w:t>
      </w:r>
    </w:p>
    <w:p w14:paraId="57EE4CE6">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c）供应方；</w:t>
      </w:r>
    </w:p>
    <w:p w14:paraId="7D9A4105">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d）采购方，如各类采购商、经销商、消费者等；</w:t>
      </w:r>
    </w:p>
    <w:p w14:paraId="17FCBED3">
      <w:pPr>
        <w:ind w:firstLine="420" w:firstLineChars="200"/>
        <w:rPr>
          <w:rFonts w:hint="eastAsia" w:cs="Times New Roman"/>
          <w:highlight w:val="none"/>
          <w:lang w:val="en-US" w:eastAsia="zh-CN"/>
        </w:rPr>
      </w:pPr>
      <w:r>
        <w:rPr>
          <w:rFonts w:hint="eastAsia" w:cs="Times New Roman"/>
          <w:highlight w:val="none"/>
          <w:lang w:val="en-US" w:eastAsia="zh-CN"/>
        </w:rPr>
        <w:t>e）外包方；</w:t>
      </w:r>
    </w:p>
    <w:p w14:paraId="626CC6F3">
      <w:pPr>
        <w:ind w:firstLine="420" w:firstLineChars="200"/>
        <w:rPr>
          <w:rFonts w:hint="eastAsia" w:cs="Times New Roman"/>
          <w:highlight w:val="none"/>
          <w:lang w:val="en-US" w:eastAsia="zh-CN"/>
        </w:rPr>
      </w:pPr>
      <w:r>
        <w:rPr>
          <w:rFonts w:hint="eastAsia" w:cs="Times New Roman"/>
          <w:highlight w:val="none"/>
          <w:lang w:val="en-US" w:eastAsia="zh-CN"/>
        </w:rPr>
        <w:t>f）技术服务方；</w:t>
      </w:r>
    </w:p>
    <w:p w14:paraId="43EB4A51">
      <w:pPr>
        <w:ind w:firstLine="420" w:firstLineChars="200"/>
        <w:rPr>
          <w:rFonts w:hint="eastAsia" w:cs="Times New Roman"/>
          <w:highlight w:val="none"/>
          <w:lang w:val="en-US" w:eastAsia="zh-CN"/>
        </w:rPr>
      </w:pPr>
      <w:r>
        <w:rPr>
          <w:rFonts w:hint="eastAsia" w:cs="Times New Roman"/>
          <w:highlight w:val="none"/>
          <w:lang w:val="en-US" w:eastAsia="zh-CN"/>
        </w:rPr>
        <w:t>g）行业协会、社团组织；</w:t>
      </w:r>
    </w:p>
    <w:p w14:paraId="5A8156AB">
      <w:pPr>
        <w:ind w:firstLine="420" w:firstLineChars="200"/>
        <w:rPr>
          <w:rFonts w:hint="default" w:cs="Times New Roman"/>
          <w:highlight w:val="none"/>
          <w:lang w:val="en-US" w:eastAsia="zh-CN"/>
        </w:rPr>
      </w:pPr>
      <w:r>
        <w:rPr>
          <w:rFonts w:hint="eastAsia" w:cs="Times New Roman"/>
          <w:highlight w:val="none"/>
          <w:lang w:val="en-US" w:eastAsia="zh-CN"/>
        </w:rPr>
        <w:t>h）员工和工会。</w:t>
      </w:r>
    </w:p>
    <w:p w14:paraId="75640C6B">
      <w:pPr>
        <w:pStyle w:val="169"/>
        <w:bidi w:val="0"/>
        <w:ind w:left="0" w:leftChars="0" w:firstLine="0" w:firstLineChars="0"/>
        <w:rPr>
          <w:rFonts w:hint="default"/>
          <w:highlight w:val="none"/>
          <w:lang w:val="en-US" w:eastAsia="zh-CN"/>
        </w:rPr>
      </w:pPr>
      <w:r>
        <w:rPr>
          <w:rFonts w:hint="default"/>
          <w:highlight w:val="none"/>
          <w:lang w:val="en-US" w:eastAsia="zh-CN"/>
        </w:rPr>
        <w:t>组织应对相关方的需求和期望及其相关信息实施监视、评审和更新。</w:t>
      </w:r>
    </w:p>
    <w:p w14:paraId="6E847375">
      <w:pPr>
        <w:pStyle w:val="43"/>
        <w:spacing w:before="156" w:after="156"/>
        <w:outlineLvl w:val="9"/>
        <w:rPr>
          <w:rFonts w:hint="eastAsia" w:ascii="宋体" w:eastAsia="宋体"/>
          <w:bCs/>
          <w:szCs w:val="22"/>
          <w:highlight w:val="none"/>
        </w:rPr>
      </w:pPr>
      <w:r>
        <w:rPr>
          <w:rFonts w:hint="eastAsia" w:ascii="宋体" w:eastAsia="宋体"/>
          <w:bCs/>
          <w:szCs w:val="22"/>
          <w:highlight w:val="none"/>
        </w:rPr>
        <w:t>确定碳管理体系的范围</w:t>
      </w:r>
    </w:p>
    <w:p w14:paraId="7FC91C3B">
      <w:pPr>
        <w:pStyle w:val="169"/>
        <w:bidi w:val="0"/>
        <w:ind w:left="0" w:leftChars="0" w:firstLine="0" w:firstLineChars="0"/>
        <w:rPr>
          <w:rFonts w:hint="default" w:ascii="Times New Roman" w:hAnsi="Times New Roman" w:cs="Times New Roman"/>
          <w:highlight w:val="none"/>
          <w:lang w:val="en-US" w:eastAsia="zh-CN"/>
        </w:rPr>
      </w:pPr>
      <w:bookmarkStart w:id="35" w:name="_Toc159319025"/>
      <w:r>
        <w:rPr>
          <w:rFonts w:hint="default" w:ascii="Times New Roman" w:hAnsi="Times New Roman" w:cs="Times New Roman"/>
          <w:highlight w:val="none"/>
          <w:lang w:val="en-US" w:eastAsia="zh-CN"/>
        </w:rPr>
        <w:t>应符合T/CCAA 39-2022中4.3的规定。</w:t>
      </w:r>
    </w:p>
    <w:p w14:paraId="4DAA5B32">
      <w:pPr>
        <w:pStyle w:val="169"/>
        <w:bidi w:val="0"/>
        <w:ind w:left="0" w:leftChars="0" w:firstLine="0" w:firstLineChars="0"/>
        <w:rPr>
          <w:rFonts w:hint="default"/>
          <w:highlight w:val="none"/>
          <w:lang w:val="en-US" w:eastAsia="zh-CN"/>
        </w:rPr>
      </w:pPr>
      <w:r>
        <w:rPr>
          <w:rFonts w:hint="eastAsia"/>
          <w:highlight w:val="none"/>
          <w:lang w:val="en-US" w:eastAsia="zh-CN"/>
        </w:rPr>
        <w:t>确定碳管理体系范围时，组织应考虑：</w:t>
      </w:r>
    </w:p>
    <w:p w14:paraId="593AF46B">
      <w:p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a</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4.1</w:t>
      </w:r>
      <w:r>
        <w:rPr>
          <w:rFonts w:hint="eastAsia" w:cs="Times New Roman"/>
          <w:highlight w:val="none"/>
          <w:lang w:val="en-US" w:eastAsia="zh-CN"/>
        </w:rPr>
        <w:t>.2、4.1.3</w:t>
      </w:r>
      <w:r>
        <w:rPr>
          <w:rFonts w:hint="default" w:ascii="Times New Roman" w:hAnsi="Times New Roman" w:cs="Times New Roman"/>
          <w:highlight w:val="none"/>
          <w:lang w:val="en-US" w:eastAsia="zh-CN"/>
        </w:rPr>
        <w:t>所提及的内、外部因素</w:t>
      </w:r>
      <w:r>
        <w:rPr>
          <w:rFonts w:hint="eastAsia" w:cs="Times New Roman"/>
          <w:highlight w:val="none"/>
          <w:lang w:val="en-US" w:eastAsia="zh-CN"/>
        </w:rPr>
        <w:t>。重点关注与组织发展战略有关的事项，如能效标杆、碳交易市场等</w:t>
      </w:r>
      <w:r>
        <w:rPr>
          <w:rFonts w:hint="eastAsia" w:ascii="Times New Roman" w:hAnsi="Times New Roman" w:cs="Times New Roman"/>
          <w:highlight w:val="none"/>
          <w:lang w:val="en-US" w:eastAsia="zh-CN"/>
        </w:rPr>
        <w:t>；</w:t>
      </w:r>
    </w:p>
    <w:p w14:paraId="311E8E29">
      <w:p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b</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4.2</w:t>
      </w:r>
      <w:r>
        <w:rPr>
          <w:rFonts w:hint="eastAsia" w:cs="Times New Roman"/>
          <w:highlight w:val="none"/>
          <w:lang w:val="en-US" w:eastAsia="zh-CN"/>
        </w:rPr>
        <w:t>.1</w:t>
      </w:r>
      <w:r>
        <w:rPr>
          <w:rFonts w:hint="default" w:ascii="Times New Roman" w:hAnsi="Times New Roman" w:cs="Times New Roman"/>
          <w:highlight w:val="none"/>
          <w:lang w:val="en-US" w:eastAsia="zh-CN"/>
        </w:rPr>
        <w:t>所提及的相关方的需求和期望</w:t>
      </w:r>
      <w:r>
        <w:rPr>
          <w:rFonts w:hint="eastAsia" w:ascii="Times New Roman" w:hAnsi="Times New Roman" w:cs="Times New Roman"/>
          <w:highlight w:val="none"/>
          <w:lang w:val="en-US" w:eastAsia="zh-CN"/>
        </w:rPr>
        <w:t>；</w:t>
      </w:r>
    </w:p>
    <w:p w14:paraId="739E1943">
      <w:pPr>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c）</w:t>
      </w:r>
      <w:r>
        <w:rPr>
          <w:rFonts w:hint="default" w:ascii="Times New Roman" w:hAnsi="Times New Roman" w:cs="Times New Roman"/>
          <w:highlight w:val="none"/>
          <w:lang w:val="en-US" w:eastAsia="zh-CN"/>
        </w:rPr>
        <w:t>组织</w:t>
      </w:r>
      <w:r>
        <w:rPr>
          <w:rFonts w:hint="eastAsia" w:cs="Times New Roman"/>
          <w:highlight w:val="none"/>
          <w:lang w:val="en-US" w:eastAsia="zh-CN"/>
        </w:rPr>
        <w:t>的</w:t>
      </w:r>
      <w:r>
        <w:rPr>
          <w:rFonts w:hint="default" w:ascii="Times New Roman" w:hAnsi="Times New Roman" w:cs="Times New Roman"/>
          <w:highlight w:val="none"/>
          <w:lang w:val="en-US" w:eastAsia="zh-CN"/>
        </w:rPr>
        <w:t>单元、职能和物理边界</w:t>
      </w:r>
      <w:r>
        <w:rPr>
          <w:rFonts w:hint="eastAsia" w:cs="Times New Roman"/>
          <w:highlight w:val="none"/>
          <w:lang w:val="en-US" w:eastAsia="zh-CN"/>
        </w:rPr>
        <w:t>。基于组织的实际地理位置的厂区范围、其厂区范围内的不同生产单元以及组织机构内的职能划分，其可施加的控制能力范围，以确定碳管理体系所覆盖的范围</w:t>
      </w:r>
      <w:r>
        <w:rPr>
          <w:rFonts w:hint="eastAsia" w:ascii="Times New Roman" w:hAnsi="Times New Roman" w:cs="Times New Roman"/>
          <w:highlight w:val="none"/>
          <w:lang w:val="en-US" w:eastAsia="zh-CN"/>
        </w:rPr>
        <w:t>；</w:t>
      </w:r>
    </w:p>
    <w:p w14:paraId="5C43EAC1">
      <w:p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d</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活动、产品和服务</w:t>
      </w:r>
      <w:r>
        <w:rPr>
          <w:rFonts w:hint="eastAsia" w:cs="Times New Roman"/>
          <w:highlight w:val="none"/>
          <w:lang w:val="en-US" w:eastAsia="zh-CN"/>
        </w:rPr>
        <w:t>。基于组织实际开展的活动、生产的产品及与生产相关联的服务内容（设计、采购、仓储、配送、回收利用等），来确定碳管理体系所覆盖的范围</w:t>
      </w:r>
      <w:r>
        <w:rPr>
          <w:rFonts w:hint="eastAsia" w:ascii="Times New Roman" w:hAnsi="Times New Roman" w:cs="Times New Roman"/>
          <w:highlight w:val="none"/>
          <w:lang w:val="en-US" w:eastAsia="zh-CN"/>
        </w:rPr>
        <w:t>；</w:t>
      </w:r>
    </w:p>
    <w:p w14:paraId="7C5C03C1">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e</w:t>
      </w:r>
      <w:r>
        <w:rPr>
          <w:rFonts w:hint="eastAsia" w:ascii="Times New Roman" w:hAnsi="Times New Roman" w:cs="Times New Roman"/>
          <w:highlight w:val="none"/>
          <w:lang w:val="en-US" w:eastAsia="zh-CN"/>
        </w:rPr>
        <w:t>）</w:t>
      </w:r>
      <w:r>
        <w:rPr>
          <w:rFonts w:hint="eastAsia" w:cs="Times New Roman"/>
          <w:highlight w:val="none"/>
          <w:lang w:val="en-US" w:eastAsia="zh-CN"/>
        </w:rPr>
        <w:t>组织的</w:t>
      </w:r>
      <w:r>
        <w:rPr>
          <w:rFonts w:hint="default" w:ascii="Times New Roman" w:hAnsi="Times New Roman" w:cs="Times New Roman"/>
          <w:highlight w:val="none"/>
          <w:lang w:val="en-US" w:eastAsia="zh-CN"/>
        </w:rPr>
        <w:t>职责和能力范围内的碳源和(或)碳汇。</w:t>
      </w:r>
      <w:r>
        <w:rPr>
          <w:rFonts w:hint="eastAsia" w:cs="Times New Roman"/>
          <w:highlight w:val="none"/>
          <w:lang w:val="en-US" w:eastAsia="zh-CN"/>
        </w:rPr>
        <w:t>原则上，组织的碳管理体系范围应与碳排放核算的范围和边界保持一致，应将直接排放纳入碳管理体系范围，对于间接排放，根据组织需求可适当纳入。</w:t>
      </w:r>
    </w:p>
    <w:bookmarkEnd w:id="35"/>
    <w:p w14:paraId="52394627">
      <w:pPr>
        <w:pStyle w:val="169"/>
        <w:bidi w:val="0"/>
        <w:ind w:left="0" w:leftChars="0" w:firstLine="0" w:firstLineChars="0"/>
        <w:rPr>
          <w:rFonts w:hint="eastAsia"/>
          <w:highlight w:val="none"/>
          <w:lang w:val="en-US" w:eastAsia="zh-CN"/>
        </w:rPr>
      </w:pPr>
      <w:r>
        <w:rPr>
          <w:rFonts w:hint="eastAsia"/>
          <w:highlight w:val="none"/>
          <w:lang w:val="en-US" w:eastAsia="zh-CN"/>
        </w:rPr>
        <w:t>组织碳管理体系范围及边界</w:t>
      </w:r>
    </w:p>
    <w:p w14:paraId="2F354EE0">
      <w:pPr>
        <w:pStyle w:val="23"/>
        <w:rPr>
          <w:rFonts w:hint="eastAsia" w:hAnsi="Times New Roman" w:eastAsia="宋体" w:cs="Times New Roman"/>
          <w:sz w:val="21"/>
          <w:szCs w:val="21"/>
          <w:highlight w:val="none"/>
          <w:lang w:val="en-US" w:eastAsia="zh-CN"/>
        </w:rPr>
      </w:pPr>
      <w:r>
        <w:rPr>
          <w:rFonts w:hint="eastAsia" w:hAnsi="Times New Roman" w:eastAsia="宋体" w:cs="Times New Roman"/>
          <w:sz w:val="21"/>
          <w:szCs w:val="21"/>
          <w:highlight w:val="none"/>
          <w:lang w:val="en-US" w:eastAsia="zh-CN"/>
        </w:rPr>
        <w:t>范围和边界一经界定，其中的所有活动，包括生产系统、辅助生产系统、附属生产系统以及其他不可区分的所有活动均包含在体系范围内。</w:t>
      </w:r>
      <w:r>
        <w:rPr>
          <w:rFonts w:hint="eastAsia" w:cs="Times New Roman"/>
          <w:sz w:val="21"/>
          <w:szCs w:val="21"/>
          <w:highlight w:val="none"/>
          <w:lang w:val="en-US" w:eastAsia="zh-CN"/>
        </w:rPr>
        <w:t>钢铁行业生产企业的碳管理体系范围和边界示意图见图1。</w:t>
      </w:r>
      <w:r>
        <w:rPr>
          <w:rFonts w:hint="eastAsia" w:hAnsi="Times New Roman" w:eastAsia="宋体" w:cs="Times New Roman"/>
          <w:sz w:val="21"/>
          <w:szCs w:val="21"/>
          <w:highlight w:val="none"/>
          <w:lang w:val="en-US" w:eastAsia="zh-CN"/>
        </w:rPr>
        <w:t>碳管理体系</w:t>
      </w:r>
      <w:r>
        <w:rPr>
          <w:rFonts w:hint="eastAsia" w:cs="Times New Roman"/>
          <w:sz w:val="21"/>
          <w:szCs w:val="21"/>
          <w:highlight w:val="none"/>
          <w:lang w:val="en-US" w:eastAsia="zh-CN"/>
        </w:rPr>
        <w:t>宜</w:t>
      </w:r>
      <w:r>
        <w:rPr>
          <w:rFonts w:hint="eastAsia" w:hAnsi="Times New Roman" w:eastAsia="宋体" w:cs="Times New Roman"/>
          <w:sz w:val="21"/>
          <w:szCs w:val="21"/>
          <w:highlight w:val="none"/>
          <w:lang w:val="en-US" w:eastAsia="zh-CN"/>
        </w:rPr>
        <w:t>覆盖但不限于以下内容：</w:t>
      </w:r>
    </w:p>
    <w:p w14:paraId="3113C901">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a）</w:t>
      </w:r>
      <w:r>
        <w:rPr>
          <w:rFonts w:hint="default" w:ascii="Times New Roman" w:hAnsi="Times New Roman" w:cs="Times New Roman"/>
          <w:highlight w:val="none"/>
          <w:lang w:val="en-US" w:eastAsia="zh-CN"/>
        </w:rPr>
        <w:t>原</w:t>
      </w:r>
      <w:r>
        <w:rPr>
          <w:rFonts w:hint="eastAsia" w:ascii="Times New Roman" w:hAnsi="Times New Roman" w:cs="Times New Roman"/>
          <w:highlight w:val="none"/>
          <w:lang w:val="en-US" w:eastAsia="zh-CN"/>
        </w:rPr>
        <w:t>燃料</w:t>
      </w:r>
      <w:r>
        <w:rPr>
          <w:rFonts w:hint="default" w:ascii="Times New Roman" w:hAnsi="Times New Roman" w:cs="Times New Roman"/>
          <w:highlight w:val="none"/>
          <w:lang w:val="en-US" w:eastAsia="zh-CN"/>
        </w:rPr>
        <w:t>的</w:t>
      </w:r>
      <w:r>
        <w:rPr>
          <w:rFonts w:hint="eastAsia" w:ascii="Times New Roman" w:hAnsi="Times New Roman" w:cs="Times New Roman"/>
          <w:highlight w:val="none"/>
          <w:lang w:val="en-US" w:eastAsia="zh-CN"/>
        </w:rPr>
        <w:t>获取及</w:t>
      </w:r>
      <w:r>
        <w:rPr>
          <w:rFonts w:hint="default" w:ascii="Times New Roman" w:hAnsi="Times New Roman" w:cs="Times New Roman"/>
          <w:highlight w:val="none"/>
          <w:lang w:val="en-US" w:eastAsia="zh-CN"/>
        </w:rPr>
        <w:t>运输</w:t>
      </w:r>
      <w:r>
        <w:rPr>
          <w:rFonts w:hint="eastAsia" w:ascii="Times New Roman" w:hAnsi="Times New Roman" w:cs="Times New Roman"/>
          <w:highlight w:val="none"/>
          <w:lang w:val="en-US" w:eastAsia="zh-CN"/>
        </w:rPr>
        <w:t>阶段</w:t>
      </w:r>
      <w:r>
        <w:rPr>
          <w:rFonts w:hint="default" w:ascii="Times New Roman" w:hAnsi="Times New Roman" w:cs="Times New Roman"/>
          <w:highlight w:val="none"/>
          <w:lang w:val="en-US" w:eastAsia="zh-CN"/>
        </w:rPr>
        <w:t>；</w:t>
      </w:r>
    </w:p>
    <w:p w14:paraId="5BCB4F45">
      <w:pPr>
        <w:ind w:firstLine="420" w:firstLineChars="200"/>
        <w:rPr>
          <w:rFonts w:hint="eastAsia" w:cs="Times New Roman"/>
          <w:highlight w:val="none"/>
          <w:lang w:val="en-US" w:eastAsia="zh-CN"/>
        </w:rPr>
      </w:pPr>
      <w:r>
        <w:rPr>
          <w:rFonts w:hint="eastAsia" w:cs="Times New Roman"/>
          <w:highlight w:val="none"/>
          <w:lang w:val="en-US" w:eastAsia="zh-CN"/>
        </w:rPr>
        <w:t>b）钢铁</w:t>
      </w:r>
      <w:r>
        <w:rPr>
          <w:rFonts w:hint="default" w:ascii="Times New Roman" w:hAnsi="Times New Roman" w:cs="Times New Roman"/>
          <w:highlight w:val="none"/>
          <w:lang w:val="en-US" w:eastAsia="zh-CN"/>
        </w:rPr>
        <w:t>生产</w:t>
      </w:r>
      <w:r>
        <w:rPr>
          <w:rFonts w:hint="eastAsia" w:ascii="Times New Roman" w:hAnsi="Times New Roman" w:cs="Times New Roman"/>
          <w:highlight w:val="none"/>
          <w:lang w:val="en-US" w:eastAsia="zh-CN"/>
        </w:rPr>
        <w:t>阶段</w:t>
      </w:r>
      <w:r>
        <w:rPr>
          <w:rFonts w:hint="eastAsia" w:cs="Times New Roman"/>
          <w:highlight w:val="none"/>
          <w:lang w:val="en-US" w:eastAsia="zh-CN"/>
        </w:rPr>
        <w:t>；</w:t>
      </w:r>
    </w:p>
    <w:p w14:paraId="3E6826BD">
      <w:pPr>
        <w:ind w:firstLine="420" w:firstLineChars="200"/>
        <w:rPr>
          <w:rFonts w:hint="default" w:cs="Times New Roman"/>
          <w:highlight w:val="none"/>
          <w:lang w:val="en-US" w:eastAsia="zh-CN"/>
        </w:rPr>
      </w:pPr>
      <w:r>
        <w:rPr>
          <w:rFonts w:hint="eastAsia" w:cs="Times New Roman"/>
          <w:highlight w:val="none"/>
          <w:lang w:val="en-US" w:eastAsia="zh-CN"/>
        </w:rPr>
        <w:t>c）适宜时，考虑产品使用及回收阶段。</w:t>
      </w:r>
    </w:p>
    <w:p w14:paraId="3B4B9D94">
      <w:pPr>
        <w:rPr>
          <w:rFonts w:hint="default" w:cs="Times New Roman"/>
          <w:highlight w:val="none"/>
          <w:lang w:val="en-US" w:eastAsia="zh-CN"/>
        </w:rPr>
      </w:pPr>
      <w:r>
        <w:rPr>
          <w:rFonts w:hint="default" w:cs="Times New Roman"/>
          <w:highlight w:val="none"/>
          <w:lang w:val="en-US" w:eastAsia="zh-CN"/>
        </w:rPr>
        <w:drawing>
          <wp:inline distT="0" distB="0" distL="114300" distR="114300">
            <wp:extent cx="5936615" cy="1571625"/>
            <wp:effectExtent l="0" t="0" r="6985" b="9525"/>
            <wp:docPr id="2" name="图片 2" descr="1750658380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50658380177"/>
                    <pic:cNvPicPr>
                      <a:picLocks noChangeAspect="1"/>
                    </pic:cNvPicPr>
                  </pic:nvPicPr>
                  <pic:blipFill>
                    <a:blip r:embed="rId29"/>
                    <a:stretch>
                      <a:fillRect/>
                    </a:stretch>
                  </pic:blipFill>
                  <pic:spPr>
                    <a:xfrm>
                      <a:off x="0" y="0"/>
                      <a:ext cx="5936615" cy="1571625"/>
                    </a:xfrm>
                    <a:prstGeom prst="rect">
                      <a:avLst/>
                    </a:prstGeom>
                  </pic:spPr>
                </pic:pic>
              </a:graphicData>
            </a:graphic>
          </wp:inline>
        </w:drawing>
      </w:r>
      <w:bookmarkStart w:id="123" w:name="_GoBack"/>
      <w:bookmarkEnd w:id="123"/>
    </w:p>
    <w:p w14:paraId="3C6E8A32">
      <w:pPr>
        <w:jc w:val="center"/>
        <w:rPr>
          <w:rFonts w:hint="default" w:cs="Times New Roman"/>
          <w:highlight w:val="none"/>
          <w:lang w:val="en-US" w:eastAsia="zh-CN"/>
        </w:rPr>
      </w:pPr>
      <w:r>
        <w:rPr>
          <w:rFonts w:hint="eastAsia" w:cs="Times New Roman"/>
          <w:highlight w:val="none"/>
          <w:lang w:val="en-US" w:eastAsia="zh-CN"/>
        </w:rPr>
        <w:t>图1  钢铁行业生产企业碳管理体系范围和边界示意图</w:t>
      </w:r>
    </w:p>
    <w:p w14:paraId="228298A8">
      <w:pPr>
        <w:pStyle w:val="43"/>
        <w:spacing w:before="156" w:after="156"/>
        <w:outlineLvl w:val="9"/>
        <w:rPr>
          <w:rFonts w:hint="eastAsia" w:ascii="宋体" w:eastAsia="宋体"/>
          <w:bCs/>
          <w:szCs w:val="22"/>
          <w:highlight w:val="none"/>
        </w:rPr>
      </w:pPr>
      <w:r>
        <w:rPr>
          <w:rFonts w:hint="eastAsia" w:ascii="宋体" w:eastAsia="宋体"/>
          <w:bCs/>
          <w:szCs w:val="22"/>
          <w:highlight w:val="none"/>
        </w:rPr>
        <w:t>碳管理体系</w:t>
      </w:r>
    </w:p>
    <w:p w14:paraId="7D00E815">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组织应根据本文件的要求，建立、实施、保持并持续改进碳管理体系，包括所需的过程及其相互作用，并持续改进碳绩效。组织建立并保持碳管理体系时，应考虑4.1和4.2获得的信息。</w:t>
      </w:r>
    </w:p>
    <w:p w14:paraId="111010A0">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组织应确定碳管理体系所需的过程及其在整个组织内的应用，且应满足T/CCAA 39-2022中4.4的要求。</w:t>
      </w:r>
    </w:p>
    <w:bookmarkEnd w:id="30"/>
    <w:bookmarkEnd w:id="31"/>
    <w:bookmarkEnd w:id="32"/>
    <w:bookmarkEnd w:id="33"/>
    <w:p w14:paraId="725F65E5">
      <w:pPr>
        <w:pStyle w:val="46"/>
        <w:spacing w:before="312" w:after="312"/>
        <w:rPr>
          <w:rFonts w:hint="default"/>
          <w:highlight w:val="none"/>
          <w:lang w:val="en-US" w:eastAsia="zh-CN"/>
        </w:rPr>
      </w:pPr>
      <w:bookmarkStart w:id="36" w:name="_Toc26430"/>
      <w:bookmarkStart w:id="37" w:name="_Toc14097"/>
      <w:bookmarkStart w:id="38" w:name="_Toc527888928"/>
      <w:bookmarkStart w:id="39" w:name="_Toc498701628"/>
      <w:bookmarkStart w:id="40" w:name="_Toc16013328"/>
      <w:bookmarkStart w:id="41" w:name="_Toc501891449"/>
      <w:bookmarkStart w:id="42" w:name="_Toc504935878"/>
      <w:bookmarkStart w:id="43" w:name="_Toc498702672"/>
      <w:bookmarkStart w:id="44" w:name="_Toc498711863"/>
      <w:bookmarkStart w:id="45" w:name="_Toc517377499"/>
      <w:bookmarkStart w:id="46" w:name="_Toc528146891"/>
      <w:bookmarkStart w:id="47" w:name="_Toc498702080"/>
      <w:bookmarkStart w:id="48" w:name="_Toc15823926"/>
      <w:bookmarkStart w:id="49" w:name="_Toc530129996"/>
      <w:bookmarkStart w:id="50" w:name="_Toc501405910"/>
      <w:bookmarkStart w:id="51" w:name="_Toc15288269"/>
      <w:bookmarkStart w:id="52" w:name="_Toc501891588"/>
      <w:bookmarkStart w:id="53" w:name="_Toc517377900"/>
      <w:bookmarkStart w:id="54" w:name="_Toc528694331"/>
      <w:bookmarkStart w:id="55" w:name="_Toc504336664"/>
      <w:bookmarkStart w:id="56" w:name="_Toc18067236"/>
      <w:bookmarkStart w:id="57" w:name="_Toc498700213"/>
      <w:bookmarkStart w:id="58" w:name="_Toc524204642"/>
      <w:bookmarkStart w:id="59" w:name="_Toc523086034"/>
      <w:bookmarkStart w:id="60" w:name="_Toc509092243"/>
      <w:bookmarkStart w:id="61" w:name="_Toc501892299"/>
      <w:bookmarkStart w:id="62" w:name="_Toc16432758"/>
      <w:bookmarkStart w:id="63" w:name="_Toc15245691"/>
      <w:bookmarkStart w:id="64" w:name="_Toc529364734"/>
      <w:bookmarkStart w:id="65" w:name="_Toc518028143"/>
      <w:bookmarkStart w:id="66" w:name="_Toc15245769"/>
      <w:bookmarkStart w:id="67" w:name="_Toc518478189"/>
      <w:bookmarkStart w:id="68" w:name="_Toc17065835"/>
      <w:bookmarkStart w:id="69" w:name="_Toc498701974"/>
      <w:bookmarkStart w:id="70" w:name="_Toc518028251"/>
      <w:bookmarkStart w:id="71" w:name="_Toc524204479"/>
      <w:bookmarkStart w:id="72" w:name="_Toc18066402"/>
      <w:bookmarkStart w:id="73" w:name="_Toc17881734"/>
      <w:bookmarkStart w:id="74" w:name="_Toc498690126"/>
      <w:bookmarkStart w:id="75" w:name="_Toc498702375"/>
      <w:bookmarkStart w:id="76" w:name="_Toc15286957"/>
      <w:bookmarkStart w:id="77" w:name="_Toc17066364"/>
      <w:bookmarkStart w:id="78" w:name="_Toc710144"/>
      <w:bookmarkStart w:id="79" w:name="_Toc17066470"/>
      <w:bookmarkStart w:id="80" w:name="_Toc523086202"/>
      <w:bookmarkStart w:id="81" w:name="_Toc10815159"/>
      <w:bookmarkStart w:id="82" w:name="_Toc518028527"/>
      <w:bookmarkStart w:id="83" w:name="_Toc502609594"/>
      <w:bookmarkStart w:id="84" w:name="_Toc15283339"/>
      <w:bookmarkStart w:id="85" w:name="_Toc17066039"/>
      <w:bookmarkStart w:id="86" w:name="_Toc498689855"/>
      <w:bookmarkStart w:id="87" w:name="_Toc523086296"/>
      <w:bookmarkStart w:id="88" w:name="_Toc524096045"/>
      <w:r>
        <w:rPr>
          <w:rFonts w:hint="eastAsia"/>
          <w:highlight w:val="none"/>
          <w:lang w:val="en-US" w:eastAsia="zh-CN"/>
        </w:rPr>
        <w:t>领导作用</w:t>
      </w:r>
      <w:bookmarkEnd w:id="36"/>
      <w:bookmarkEnd w:id="37"/>
    </w:p>
    <w:p w14:paraId="7839F831">
      <w:pPr>
        <w:pStyle w:val="43"/>
        <w:spacing w:before="156" w:after="156"/>
        <w:outlineLvl w:val="9"/>
        <w:rPr>
          <w:rFonts w:hint="default" w:ascii="宋体" w:eastAsia="宋体"/>
          <w:bCs/>
          <w:szCs w:val="22"/>
          <w:highlight w:val="none"/>
          <w:lang w:val="en-US" w:eastAsia="zh-CN"/>
        </w:rPr>
      </w:pPr>
      <w:bookmarkStart w:id="89" w:name="_Toc7809"/>
      <w:r>
        <w:rPr>
          <w:rFonts w:hint="eastAsia" w:ascii="宋体" w:eastAsia="宋体"/>
          <w:bCs/>
          <w:szCs w:val="22"/>
          <w:highlight w:val="none"/>
          <w:lang w:val="en-US" w:eastAsia="zh-CN"/>
        </w:rPr>
        <w:t>领导作用和承诺</w:t>
      </w:r>
      <w:bookmarkEnd w:id="89"/>
    </w:p>
    <w:p w14:paraId="6F1FD045">
      <w:pPr>
        <w:pStyle w:val="169"/>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应符合T/CCAA 39-2022中5.1的要求。</w:t>
      </w:r>
    </w:p>
    <w:p w14:paraId="6B483AF5">
      <w:pPr>
        <w:pStyle w:val="169"/>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在将碳管理体系要求融入组织的业务过程时宜关注与其他在运行的管理体系，如环境管理体系、能源管理体系等进行融合。</w:t>
      </w:r>
    </w:p>
    <w:p w14:paraId="19291F19">
      <w:pPr>
        <w:pStyle w:val="43"/>
        <w:spacing w:before="156" w:after="156"/>
        <w:outlineLvl w:val="9"/>
        <w:rPr>
          <w:rFonts w:hint="default" w:ascii="宋体" w:eastAsia="宋体"/>
          <w:bCs/>
          <w:szCs w:val="22"/>
          <w:highlight w:val="none"/>
          <w:lang w:val="en-US" w:eastAsia="zh-CN"/>
        </w:rPr>
      </w:pPr>
      <w:bookmarkStart w:id="90" w:name="_Toc9094"/>
      <w:r>
        <w:rPr>
          <w:rFonts w:hint="eastAsia" w:ascii="宋体" w:eastAsia="宋体"/>
          <w:bCs/>
          <w:szCs w:val="22"/>
          <w:highlight w:val="none"/>
          <w:lang w:val="en-US" w:eastAsia="zh-CN"/>
        </w:rPr>
        <w:t>碳方针</w:t>
      </w:r>
      <w:bookmarkEnd w:id="90"/>
    </w:p>
    <w:p w14:paraId="552ED53C">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最高管理者应在确定的碳管理范围内建立、实施并保持碳管理方针。碳管理方针应考虑：</w:t>
      </w:r>
    </w:p>
    <w:p w14:paraId="2894F666">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适合于</w:t>
      </w:r>
      <w:r>
        <w:rPr>
          <w:rFonts w:hint="eastAsia" w:cs="Times New Roman"/>
          <w:highlight w:val="none"/>
          <w:lang w:val="en-US" w:eastAsia="zh-CN"/>
        </w:rPr>
        <w:t>钢铁企业</w:t>
      </w:r>
      <w:r>
        <w:rPr>
          <w:rFonts w:hint="default" w:ascii="Times New Roman" w:hAnsi="Times New Roman" w:cs="Times New Roman"/>
          <w:highlight w:val="none"/>
          <w:lang w:val="en-US" w:eastAsia="zh-CN"/>
        </w:rPr>
        <w:t>的</w:t>
      </w:r>
      <w:r>
        <w:rPr>
          <w:rFonts w:hint="eastAsia" w:cs="Times New Roman"/>
          <w:highlight w:val="none"/>
          <w:lang w:val="en-US" w:eastAsia="zh-CN"/>
        </w:rPr>
        <w:t>现状和发展战略</w:t>
      </w:r>
      <w:r>
        <w:rPr>
          <w:rFonts w:hint="default" w:ascii="Times New Roman" w:hAnsi="Times New Roman" w:cs="Times New Roman"/>
          <w:highlight w:val="none"/>
          <w:lang w:val="en-US" w:eastAsia="zh-CN"/>
        </w:rPr>
        <w:t>；</w:t>
      </w:r>
    </w:p>
    <w:p w14:paraId="74F62E61">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b</w:t>
      </w:r>
      <w:r>
        <w:rPr>
          <w:rFonts w:hint="eastAsia" w:ascii="Times New Roman" w:hAnsi="Times New Roman" w:cs="Times New Roman"/>
          <w:highlight w:val="none"/>
          <w:lang w:val="en-US" w:eastAsia="zh-CN"/>
        </w:rPr>
        <w:t>）</w:t>
      </w:r>
      <w:r>
        <w:rPr>
          <w:rFonts w:hint="eastAsia" w:cs="Times New Roman"/>
          <w:highlight w:val="none"/>
          <w:lang w:val="en-US" w:eastAsia="zh-CN"/>
        </w:rPr>
        <w:t>组织的内外部因素及相关方的需求，如符合国家对钢铁行业碳排放核算、碳减排、碳交易履约、产品碳足迹、产品低碳化等要求</w:t>
      </w:r>
      <w:r>
        <w:rPr>
          <w:rFonts w:hint="default" w:ascii="Times New Roman" w:hAnsi="Times New Roman" w:cs="Times New Roman"/>
          <w:highlight w:val="none"/>
          <w:lang w:val="en-US" w:eastAsia="zh-CN"/>
        </w:rPr>
        <w:t>；</w:t>
      </w:r>
    </w:p>
    <w:p w14:paraId="2600D950">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c</w:t>
      </w:r>
      <w:r>
        <w:rPr>
          <w:rFonts w:hint="eastAsia" w:ascii="Times New Roman" w:hAnsi="Times New Roman" w:cs="Times New Roman"/>
          <w:highlight w:val="none"/>
          <w:lang w:val="en-US" w:eastAsia="zh-CN"/>
        </w:rPr>
        <w:t>）</w:t>
      </w:r>
      <w:r>
        <w:rPr>
          <w:rFonts w:hint="eastAsia" w:cs="Times New Roman"/>
          <w:highlight w:val="none"/>
          <w:lang w:val="en-US" w:eastAsia="zh-CN"/>
        </w:rPr>
        <w:t>履行合规义务的承诺，适用时包括特定承诺，如满足产业政策的要求、履约、碳减排、低碳采购、提供低碳产品等</w:t>
      </w:r>
      <w:r>
        <w:rPr>
          <w:rFonts w:hint="default" w:ascii="Times New Roman" w:hAnsi="Times New Roman" w:cs="Times New Roman"/>
          <w:highlight w:val="none"/>
          <w:lang w:val="en-US" w:eastAsia="zh-CN"/>
        </w:rPr>
        <w:t>；</w:t>
      </w:r>
    </w:p>
    <w:p w14:paraId="21ED0962">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d</w:t>
      </w:r>
      <w:r>
        <w:rPr>
          <w:rFonts w:hint="eastAsia" w:ascii="Times New Roman" w:hAnsi="Times New Roman" w:cs="Times New Roman"/>
          <w:highlight w:val="none"/>
          <w:lang w:val="en-US" w:eastAsia="zh-CN"/>
        </w:rPr>
        <w:t>）</w:t>
      </w:r>
      <w:r>
        <w:rPr>
          <w:rFonts w:hint="eastAsia" w:cs="Times New Roman"/>
          <w:highlight w:val="none"/>
          <w:lang w:val="en-US" w:eastAsia="zh-CN"/>
        </w:rPr>
        <w:t>运用生命周期理念持续改进碳管理体系以提高碳绩效的承诺</w:t>
      </w:r>
      <w:r>
        <w:rPr>
          <w:rFonts w:hint="default" w:ascii="Times New Roman" w:hAnsi="Times New Roman" w:cs="Times New Roman"/>
          <w:highlight w:val="none"/>
          <w:lang w:val="en-US" w:eastAsia="zh-CN"/>
        </w:rPr>
        <w:t>；</w:t>
      </w:r>
    </w:p>
    <w:p w14:paraId="65D05C3F">
      <w:pPr>
        <w:pStyle w:val="169"/>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碳方针应保持文件化信息，并传达至相关岗位人员，</w:t>
      </w:r>
      <w:r>
        <w:rPr>
          <w:rFonts w:hint="eastAsia" w:ascii="Times New Roman" w:cs="Times New Roman"/>
          <w:highlight w:val="none"/>
          <w:lang w:val="en-US" w:eastAsia="zh-CN"/>
        </w:rPr>
        <w:t>适当</w:t>
      </w:r>
      <w:r>
        <w:rPr>
          <w:rFonts w:hint="eastAsia" w:ascii="Times New Roman" w:hAnsi="Times New Roman" w:cs="Times New Roman"/>
          <w:highlight w:val="none"/>
          <w:lang w:val="en-US" w:eastAsia="zh-CN"/>
        </w:rPr>
        <w:t>时，能够被相关方获取。</w:t>
      </w:r>
    </w:p>
    <w:p w14:paraId="71645B75">
      <w:pPr>
        <w:pStyle w:val="43"/>
        <w:spacing w:before="156" w:after="156"/>
        <w:outlineLvl w:val="9"/>
        <w:rPr>
          <w:rFonts w:hint="default" w:ascii="宋体" w:eastAsia="宋体"/>
          <w:bCs/>
          <w:szCs w:val="22"/>
          <w:highlight w:val="none"/>
          <w:lang w:val="en-US" w:eastAsia="zh-CN"/>
        </w:rPr>
      </w:pPr>
      <w:bookmarkStart w:id="91" w:name="_Toc8236"/>
      <w:r>
        <w:rPr>
          <w:rFonts w:hint="eastAsia" w:ascii="宋体" w:eastAsia="宋体"/>
          <w:bCs/>
          <w:szCs w:val="22"/>
          <w:highlight w:val="none"/>
          <w:lang w:val="en-US" w:eastAsia="zh-CN"/>
        </w:rPr>
        <w:t>组织的岗位、职责和权限</w:t>
      </w:r>
      <w:bookmarkEnd w:id="91"/>
    </w:p>
    <w:p w14:paraId="30D9052E">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应符合T/CCAA39-2022中5.3的要求。</w:t>
      </w:r>
    </w:p>
    <w:p w14:paraId="783A31D9">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在最高管理者的直接管理或授权下</w:t>
      </w:r>
      <w:r>
        <w:rPr>
          <w:rFonts w:hint="eastAsia" w:ascii="Times New Roman" w:cs="Times New Roman"/>
          <w:highlight w:val="none"/>
          <w:lang w:val="en-US" w:eastAsia="zh-CN"/>
        </w:rPr>
        <w:t>，</w:t>
      </w:r>
      <w:r>
        <w:rPr>
          <w:rFonts w:hint="eastAsia" w:ascii="Times New Roman" w:hAnsi="Times New Roman" w:cs="Times New Roman"/>
          <w:highlight w:val="none"/>
          <w:lang w:val="en-US" w:eastAsia="zh-CN"/>
        </w:rPr>
        <w:t>组织应在内部建立碳管理团队</w:t>
      </w:r>
      <w:r>
        <w:rPr>
          <w:rFonts w:hint="eastAsia" w:ascii="Times New Roman" w:cs="Times New Roman"/>
          <w:highlight w:val="none"/>
          <w:lang w:val="en-US" w:eastAsia="zh-CN"/>
        </w:rPr>
        <w:t>，</w:t>
      </w:r>
      <w:r>
        <w:rPr>
          <w:rFonts w:hint="eastAsia" w:ascii="Times New Roman" w:hAnsi="Times New Roman" w:cs="Times New Roman"/>
          <w:highlight w:val="none"/>
          <w:lang w:val="en-US" w:eastAsia="zh-CN"/>
        </w:rPr>
        <w:t>明确相应的职责和权限</w:t>
      </w:r>
      <w:r>
        <w:rPr>
          <w:rFonts w:hint="eastAsia" w:ascii="Times New Roman" w:cs="Times New Roman"/>
          <w:highlight w:val="none"/>
          <w:lang w:val="en-US" w:eastAsia="zh-CN"/>
        </w:rPr>
        <w:t>。</w:t>
      </w:r>
      <w:r>
        <w:rPr>
          <w:rFonts w:hint="eastAsia" w:ascii="Times New Roman" w:hAnsi="Times New Roman" w:cs="Times New Roman"/>
          <w:highlight w:val="none"/>
          <w:lang w:val="en-US" w:eastAsia="zh-CN"/>
        </w:rPr>
        <w:t>可以是以下形式</w:t>
      </w:r>
      <w:r>
        <w:rPr>
          <w:rFonts w:hint="eastAsia" w:ascii="Times New Roman" w:cs="Times New Roman"/>
          <w:highlight w:val="none"/>
          <w:lang w:val="en-US" w:eastAsia="zh-CN"/>
        </w:rPr>
        <w:t>：</w:t>
      </w:r>
    </w:p>
    <w:p w14:paraId="51E90EC2">
      <w:pPr>
        <w:ind w:firstLine="420" w:firstLineChars="200"/>
        <w:rPr>
          <w:rFonts w:hint="default" w:cs="Times New Roman"/>
          <w:highlight w:val="none"/>
          <w:lang w:val="en-US" w:eastAsia="zh-CN"/>
        </w:rPr>
      </w:pPr>
      <w:r>
        <w:rPr>
          <w:rFonts w:hint="eastAsia" w:cs="Times New Roman"/>
          <w:highlight w:val="none"/>
          <w:lang w:val="en-US" w:eastAsia="zh-CN"/>
        </w:rPr>
        <w:t>a）</w:t>
      </w:r>
      <w:r>
        <w:rPr>
          <w:rFonts w:hint="default" w:cs="Times New Roman"/>
          <w:highlight w:val="none"/>
          <w:lang w:val="en-US" w:eastAsia="zh-CN"/>
        </w:rPr>
        <w:t>成立专门的碳</w:t>
      </w:r>
      <w:r>
        <w:rPr>
          <w:rFonts w:hint="eastAsia" w:cs="Times New Roman"/>
          <w:highlight w:val="none"/>
          <w:lang w:val="en-US" w:eastAsia="zh-CN"/>
        </w:rPr>
        <w:t>排放</w:t>
      </w:r>
      <w:r>
        <w:rPr>
          <w:rFonts w:hint="default" w:cs="Times New Roman"/>
          <w:highlight w:val="none"/>
          <w:lang w:val="en-US" w:eastAsia="zh-CN"/>
        </w:rPr>
        <w:t>管理部门</w:t>
      </w:r>
      <w:r>
        <w:rPr>
          <w:rFonts w:hint="eastAsia" w:cs="Times New Roman"/>
          <w:highlight w:val="none"/>
          <w:lang w:val="en-US" w:eastAsia="zh-CN"/>
        </w:rPr>
        <w:t>，</w:t>
      </w:r>
      <w:r>
        <w:rPr>
          <w:rFonts w:hint="default" w:cs="Times New Roman"/>
          <w:highlight w:val="none"/>
          <w:lang w:val="en-US" w:eastAsia="zh-CN"/>
        </w:rPr>
        <w:t>统一负责</w:t>
      </w:r>
      <w:r>
        <w:rPr>
          <w:rFonts w:hint="eastAsia" w:cs="Times New Roman"/>
          <w:highlight w:val="none"/>
          <w:lang w:val="en-US" w:eastAsia="zh-CN"/>
        </w:rPr>
        <w:t>组织</w:t>
      </w:r>
      <w:r>
        <w:rPr>
          <w:rFonts w:hint="default" w:cs="Times New Roman"/>
          <w:highlight w:val="none"/>
          <w:lang w:val="en-US" w:eastAsia="zh-CN"/>
        </w:rPr>
        <w:t>碳</w:t>
      </w:r>
      <w:r>
        <w:rPr>
          <w:rFonts w:hint="eastAsia" w:cs="Times New Roman"/>
          <w:highlight w:val="none"/>
          <w:lang w:val="en-US" w:eastAsia="zh-CN"/>
        </w:rPr>
        <w:t>排放</w:t>
      </w:r>
      <w:r>
        <w:rPr>
          <w:rFonts w:hint="default" w:cs="Times New Roman"/>
          <w:highlight w:val="none"/>
          <w:lang w:val="en-US" w:eastAsia="zh-CN"/>
        </w:rPr>
        <w:t>管理工作</w:t>
      </w:r>
      <w:r>
        <w:rPr>
          <w:rFonts w:hint="eastAsia" w:cs="Times New Roman"/>
          <w:highlight w:val="none"/>
          <w:lang w:val="en-US" w:eastAsia="zh-CN"/>
        </w:rPr>
        <w:t>；</w:t>
      </w:r>
    </w:p>
    <w:p w14:paraId="5D92F69A">
      <w:pPr>
        <w:ind w:firstLine="420" w:firstLineChars="200"/>
        <w:rPr>
          <w:rFonts w:hint="default" w:cs="Times New Roman"/>
          <w:highlight w:val="none"/>
          <w:lang w:val="en-US" w:eastAsia="zh-CN"/>
        </w:rPr>
      </w:pPr>
      <w:r>
        <w:rPr>
          <w:rFonts w:hint="eastAsia" w:cs="Times New Roman"/>
          <w:highlight w:val="none"/>
          <w:lang w:val="en-US" w:eastAsia="zh-CN"/>
        </w:rPr>
        <w:t>b）</w:t>
      </w:r>
      <w:r>
        <w:rPr>
          <w:rFonts w:hint="default" w:cs="Times New Roman"/>
          <w:highlight w:val="none"/>
          <w:lang w:val="en-US" w:eastAsia="zh-CN"/>
        </w:rPr>
        <w:t>与</w:t>
      </w:r>
      <w:r>
        <w:rPr>
          <w:rFonts w:hint="eastAsia" w:cs="Times New Roman"/>
          <w:highlight w:val="none"/>
          <w:lang w:val="en-US" w:eastAsia="zh-CN"/>
        </w:rPr>
        <w:t>组织</w:t>
      </w:r>
      <w:r>
        <w:rPr>
          <w:rFonts w:hint="default" w:cs="Times New Roman"/>
          <w:highlight w:val="none"/>
          <w:lang w:val="en-US" w:eastAsia="zh-CN"/>
        </w:rPr>
        <w:t>的能源</w:t>
      </w:r>
      <w:r>
        <w:rPr>
          <w:rFonts w:hint="eastAsia" w:cs="Times New Roman"/>
          <w:highlight w:val="none"/>
          <w:lang w:val="en-US" w:eastAsia="zh-CN"/>
        </w:rPr>
        <w:t>相关</w:t>
      </w:r>
      <w:r>
        <w:rPr>
          <w:rFonts w:hint="default" w:cs="Times New Roman"/>
          <w:highlight w:val="none"/>
          <w:lang w:val="en-US" w:eastAsia="zh-CN"/>
        </w:rPr>
        <w:t>部门融合</w:t>
      </w:r>
      <w:r>
        <w:rPr>
          <w:rFonts w:hint="eastAsia" w:cs="Times New Roman"/>
          <w:highlight w:val="none"/>
          <w:lang w:val="en-US" w:eastAsia="zh-CN"/>
        </w:rPr>
        <w:t>，</w:t>
      </w:r>
      <w:r>
        <w:rPr>
          <w:rFonts w:hint="default" w:cs="Times New Roman"/>
          <w:highlight w:val="none"/>
          <w:lang w:val="en-US" w:eastAsia="zh-CN"/>
        </w:rPr>
        <w:t>将碳</w:t>
      </w:r>
      <w:r>
        <w:rPr>
          <w:rFonts w:hint="eastAsia" w:cs="Times New Roman"/>
          <w:highlight w:val="none"/>
          <w:lang w:val="en-US" w:eastAsia="zh-CN"/>
        </w:rPr>
        <w:t>排放</w:t>
      </w:r>
      <w:r>
        <w:rPr>
          <w:rFonts w:hint="default" w:cs="Times New Roman"/>
          <w:highlight w:val="none"/>
          <w:lang w:val="en-US" w:eastAsia="zh-CN"/>
        </w:rPr>
        <w:t>管理融入其日常工作中</w:t>
      </w:r>
      <w:r>
        <w:rPr>
          <w:rFonts w:hint="eastAsia" w:cs="Times New Roman"/>
          <w:highlight w:val="none"/>
          <w:lang w:val="en-US" w:eastAsia="zh-CN"/>
        </w:rPr>
        <w:t>；</w:t>
      </w:r>
    </w:p>
    <w:p w14:paraId="000FDB42">
      <w:pPr>
        <w:ind w:firstLine="420" w:firstLineChars="200"/>
        <w:rPr>
          <w:rFonts w:hint="default" w:cs="Times New Roman"/>
          <w:highlight w:val="none"/>
          <w:lang w:val="en-US" w:eastAsia="zh-CN"/>
        </w:rPr>
      </w:pPr>
      <w:r>
        <w:rPr>
          <w:rFonts w:hint="eastAsia" w:cs="Times New Roman"/>
          <w:highlight w:val="none"/>
          <w:lang w:val="en-US" w:eastAsia="zh-CN"/>
        </w:rPr>
        <w:t>c）</w:t>
      </w:r>
      <w:r>
        <w:rPr>
          <w:rFonts w:hint="default" w:cs="Times New Roman"/>
          <w:highlight w:val="none"/>
          <w:lang w:val="en-US" w:eastAsia="zh-CN"/>
        </w:rPr>
        <w:t>必要时</w:t>
      </w:r>
      <w:r>
        <w:rPr>
          <w:rFonts w:hint="eastAsia" w:cs="Times New Roman"/>
          <w:highlight w:val="none"/>
          <w:lang w:val="en-US" w:eastAsia="zh-CN"/>
        </w:rPr>
        <w:t>，</w:t>
      </w:r>
      <w:r>
        <w:rPr>
          <w:rFonts w:hint="default" w:cs="Times New Roman"/>
          <w:highlight w:val="none"/>
          <w:lang w:val="en-US" w:eastAsia="zh-CN"/>
        </w:rPr>
        <w:t>借助外部机构的力量支持</w:t>
      </w:r>
      <w:r>
        <w:rPr>
          <w:rFonts w:hint="eastAsia" w:cs="Times New Roman"/>
          <w:highlight w:val="none"/>
          <w:lang w:val="en-US" w:eastAsia="zh-CN"/>
        </w:rPr>
        <w:t>组织</w:t>
      </w:r>
      <w:r>
        <w:rPr>
          <w:rFonts w:hint="default" w:cs="Times New Roman"/>
          <w:highlight w:val="none"/>
          <w:lang w:val="en-US" w:eastAsia="zh-CN"/>
        </w:rPr>
        <w:t>的碳</w:t>
      </w:r>
      <w:r>
        <w:rPr>
          <w:rFonts w:hint="eastAsia" w:cs="Times New Roman"/>
          <w:highlight w:val="none"/>
          <w:lang w:val="en-US" w:eastAsia="zh-CN"/>
        </w:rPr>
        <w:t>排放</w:t>
      </w:r>
      <w:r>
        <w:rPr>
          <w:rFonts w:hint="default" w:cs="Times New Roman"/>
          <w:highlight w:val="none"/>
          <w:lang w:val="en-US" w:eastAsia="zh-CN"/>
        </w:rPr>
        <w:t>管理。</w:t>
      </w:r>
    </w:p>
    <w:p w14:paraId="6214F262">
      <w:pPr>
        <w:pStyle w:val="46"/>
        <w:spacing w:before="312" w:after="312"/>
        <w:rPr>
          <w:rFonts w:hint="default"/>
          <w:highlight w:val="none"/>
          <w:lang w:val="en-US" w:eastAsia="zh-CN"/>
        </w:rPr>
      </w:pPr>
      <w:bookmarkStart w:id="92" w:name="_Toc3595"/>
      <w:bookmarkStart w:id="93" w:name="_Toc20828"/>
      <w:r>
        <w:rPr>
          <w:rFonts w:hint="eastAsia"/>
          <w:highlight w:val="none"/>
          <w:lang w:val="en-US" w:eastAsia="zh-CN"/>
        </w:rPr>
        <w:t>策划</w:t>
      </w:r>
      <w:bookmarkEnd w:id="92"/>
      <w:bookmarkEnd w:id="93"/>
    </w:p>
    <w:p w14:paraId="4452D3C7">
      <w:pPr>
        <w:pStyle w:val="43"/>
        <w:spacing w:before="156" w:after="156"/>
        <w:outlineLvl w:val="9"/>
        <w:rPr>
          <w:rFonts w:hint="default" w:ascii="宋体" w:eastAsia="宋体"/>
          <w:bCs/>
          <w:szCs w:val="22"/>
          <w:highlight w:val="none"/>
          <w:lang w:val="en-US" w:eastAsia="zh-CN"/>
        </w:rPr>
      </w:pPr>
      <w:bookmarkStart w:id="94" w:name="_Toc17449"/>
      <w:r>
        <w:rPr>
          <w:rFonts w:hint="eastAsia" w:ascii="宋体" w:eastAsia="宋体"/>
          <w:bCs/>
          <w:szCs w:val="22"/>
          <w:highlight w:val="none"/>
          <w:lang w:val="en-US" w:eastAsia="zh-CN"/>
        </w:rPr>
        <w:t>应对风险和机遇的措施</w:t>
      </w:r>
      <w:bookmarkEnd w:id="94"/>
    </w:p>
    <w:p w14:paraId="6C22EC5F">
      <w:pPr>
        <w:pStyle w:val="169"/>
        <w:bidi w:val="0"/>
        <w:ind w:left="0" w:leftChars="0" w:firstLine="0" w:firstLineChars="0"/>
        <w:rPr>
          <w:rFonts w:hint="default"/>
          <w:highlight w:val="none"/>
          <w:lang w:val="en-US" w:eastAsia="zh-CN"/>
        </w:rPr>
      </w:pPr>
      <w:r>
        <w:rPr>
          <w:rFonts w:hint="eastAsia"/>
          <w:highlight w:val="none"/>
          <w:lang w:val="en-US" w:eastAsia="zh-CN"/>
        </w:rPr>
        <w:t>总则</w:t>
      </w:r>
    </w:p>
    <w:p w14:paraId="68DAC59B">
      <w:pPr>
        <w:ind w:firstLine="420" w:firstLineChars="200"/>
        <w:rPr>
          <w:rFonts w:hint="default" w:cs="Times New Roman"/>
          <w:highlight w:val="none"/>
          <w:lang w:val="en-US" w:eastAsia="zh-CN"/>
        </w:rPr>
      </w:pPr>
      <w:r>
        <w:rPr>
          <w:rFonts w:hint="eastAsia" w:cs="Times New Roman"/>
          <w:highlight w:val="none"/>
          <w:lang w:val="en-US" w:eastAsia="zh-CN"/>
        </w:rPr>
        <w:t>钢铁企业在策划管理体系时，应考虑以下事项：</w:t>
      </w:r>
    </w:p>
    <w:p w14:paraId="65E4398B">
      <w:pPr>
        <w:ind w:firstLine="420" w:firstLineChars="200"/>
        <w:rPr>
          <w:rFonts w:hint="eastAsia" w:cs="Times New Roman"/>
          <w:highlight w:val="none"/>
          <w:lang w:val="en-US" w:eastAsia="zh-CN"/>
        </w:rPr>
      </w:pPr>
      <w:r>
        <w:rPr>
          <w:rFonts w:hint="eastAsia" w:cs="Times New Roman"/>
          <w:highlight w:val="none"/>
          <w:lang w:val="en-US" w:eastAsia="zh-CN"/>
        </w:rPr>
        <w:t>a）</w:t>
      </w:r>
      <w:r>
        <w:rPr>
          <w:rFonts w:hint="eastAsia" w:ascii="Times New Roman" w:hAnsi="Times New Roman" w:cs="Times New Roman"/>
          <w:highlight w:val="none"/>
          <w:lang w:val="en-US" w:eastAsia="zh-CN"/>
        </w:rPr>
        <w:t>4.1所提及的内、外部因素</w:t>
      </w:r>
      <w:r>
        <w:rPr>
          <w:rFonts w:hint="eastAsia" w:cs="Times New Roman"/>
          <w:highlight w:val="none"/>
          <w:lang w:val="en-US" w:eastAsia="zh-CN"/>
        </w:rPr>
        <w:t>；</w:t>
      </w:r>
    </w:p>
    <w:p w14:paraId="5E2FE475">
      <w:pPr>
        <w:ind w:firstLine="420" w:firstLineChars="200"/>
        <w:rPr>
          <w:rFonts w:hint="eastAsia" w:ascii="Times New Roman" w:hAnsi="Times New Roman" w:cs="Times New Roman"/>
          <w:highlight w:val="none"/>
          <w:lang w:val="en-US" w:eastAsia="zh-CN"/>
        </w:rPr>
      </w:pPr>
      <w:r>
        <w:rPr>
          <w:rFonts w:hint="eastAsia" w:cs="Times New Roman"/>
          <w:highlight w:val="none"/>
          <w:lang w:val="en-US" w:eastAsia="zh-CN"/>
        </w:rPr>
        <w:t>b）</w:t>
      </w:r>
      <w:r>
        <w:rPr>
          <w:rFonts w:hint="eastAsia" w:ascii="Times New Roman" w:hAnsi="Times New Roman" w:cs="Times New Roman"/>
          <w:highlight w:val="none"/>
          <w:lang w:val="en-US" w:eastAsia="zh-CN"/>
        </w:rPr>
        <w:t>4.2所提及的相关方的需求和期望</w:t>
      </w:r>
      <w:r>
        <w:rPr>
          <w:rFonts w:hint="eastAsia" w:cs="Times New Roman"/>
          <w:highlight w:val="none"/>
          <w:lang w:val="en-US" w:eastAsia="zh-CN"/>
        </w:rPr>
        <w:t>；</w:t>
      </w:r>
    </w:p>
    <w:p w14:paraId="4562B321">
      <w:pPr>
        <w:ind w:firstLine="420" w:firstLineChars="200"/>
        <w:rPr>
          <w:rFonts w:hint="eastAsia" w:cs="Times New Roman"/>
          <w:highlight w:val="none"/>
          <w:lang w:val="en-US" w:eastAsia="zh-CN"/>
        </w:rPr>
      </w:pPr>
      <w:r>
        <w:rPr>
          <w:rFonts w:hint="eastAsia" w:cs="Times New Roman"/>
          <w:highlight w:val="none"/>
          <w:lang w:val="en-US" w:eastAsia="zh-CN"/>
        </w:rPr>
        <w:t>c）</w:t>
      </w:r>
      <w:r>
        <w:rPr>
          <w:rFonts w:hint="eastAsia" w:ascii="Times New Roman" w:hAnsi="Times New Roman" w:cs="Times New Roman"/>
          <w:highlight w:val="none"/>
          <w:lang w:val="en-US" w:eastAsia="zh-CN"/>
        </w:rPr>
        <w:t>其碳评审的结果</w:t>
      </w:r>
      <w:r>
        <w:rPr>
          <w:rFonts w:hint="eastAsia" w:cs="Times New Roman"/>
          <w:highlight w:val="none"/>
          <w:lang w:val="en-US" w:eastAsia="zh-CN"/>
        </w:rPr>
        <w:t>；</w:t>
      </w:r>
    </w:p>
    <w:p w14:paraId="17055EE4">
      <w:pPr>
        <w:ind w:firstLine="420" w:firstLineChars="200"/>
        <w:rPr>
          <w:rFonts w:hint="eastAsia" w:cs="Times New Roman"/>
          <w:highlight w:val="none"/>
          <w:lang w:val="en-US" w:eastAsia="zh-CN"/>
        </w:rPr>
      </w:pPr>
      <w:r>
        <w:rPr>
          <w:rFonts w:hint="eastAsia" w:cs="Times New Roman"/>
          <w:highlight w:val="none"/>
          <w:lang w:val="en-US" w:eastAsia="zh-CN"/>
        </w:rPr>
        <w:t>d）</w:t>
      </w:r>
      <w:r>
        <w:rPr>
          <w:rFonts w:hint="eastAsia" w:ascii="Times New Roman" w:hAnsi="Times New Roman" w:cs="Times New Roman"/>
          <w:highlight w:val="none"/>
          <w:lang w:val="en-US" w:eastAsia="zh-CN"/>
        </w:rPr>
        <w:t>其合规义务的要求</w:t>
      </w:r>
      <w:r>
        <w:rPr>
          <w:rFonts w:hint="eastAsia" w:cs="Times New Roman"/>
          <w:highlight w:val="none"/>
          <w:lang w:val="en-US" w:eastAsia="zh-CN"/>
        </w:rPr>
        <w:t>。</w:t>
      </w:r>
    </w:p>
    <w:p w14:paraId="4B2661F6">
      <w:pPr>
        <w:pStyle w:val="169"/>
        <w:bidi w:val="0"/>
        <w:ind w:left="0" w:leftChars="0" w:firstLine="0" w:firstLineChars="0"/>
        <w:rPr>
          <w:rFonts w:hint="default"/>
          <w:highlight w:val="none"/>
          <w:lang w:val="en-US" w:eastAsia="zh-CN"/>
        </w:rPr>
      </w:pPr>
      <w:r>
        <w:rPr>
          <w:rFonts w:hint="eastAsia"/>
          <w:highlight w:val="none"/>
          <w:lang w:val="en-US" w:eastAsia="zh-CN"/>
        </w:rPr>
        <w:t>碳评审</w:t>
      </w:r>
    </w:p>
    <w:p w14:paraId="6F00F0A9">
      <w:pPr>
        <w:pStyle w:val="169"/>
        <w:numPr>
          <w:ilvl w:val="3"/>
          <w:numId w:val="2"/>
        </w:numPr>
        <w:bidi w:val="0"/>
        <w:ind w:left="0" w:leftChars="0" w:firstLine="0" w:firstLineChars="0"/>
        <w:rPr>
          <w:rFonts w:hint="default"/>
          <w:highlight w:val="none"/>
          <w:lang w:val="en-US" w:eastAsia="zh-CN"/>
        </w:rPr>
      </w:pPr>
      <w:r>
        <w:rPr>
          <w:rFonts w:hint="eastAsia"/>
          <w:highlight w:val="none"/>
          <w:lang w:val="en-US" w:eastAsia="zh-CN"/>
        </w:rPr>
        <w:t>评审准则</w:t>
      </w:r>
    </w:p>
    <w:p w14:paraId="7FEFEE5C">
      <w:pPr>
        <w:pStyle w:val="169"/>
        <w:numPr>
          <w:ilvl w:val="2"/>
          <w:numId w:val="0"/>
        </w:numPr>
        <w:bidi w:val="0"/>
        <w:ind w:leftChars="0" w:firstLine="420" w:firstLineChars="200"/>
        <w:rPr>
          <w:rFonts w:hint="default"/>
          <w:highlight w:val="none"/>
          <w:lang w:val="en-US" w:eastAsia="zh-CN"/>
        </w:rPr>
      </w:pPr>
      <w:r>
        <w:rPr>
          <w:rFonts w:hint="default"/>
          <w:highlight w:val="none"/>
          <w:lang w:val="en-US" w:eastAsia="zh-CN"/>
        </w:rPr>
        <w:t>组织应在所界定的碳管理体系范围内，建立并保持碳评审准则，对碳管理现状和水平进行评审，评审准则应明确包括但不限于下述内容:</w:t>
      </w:r>
    </w:p>
    <w:p w14:paraId="31D30B82">
      <w:pPr>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a）</w:t>
      </w:r>
      <w:r>
        <w:rPr>
          <w:rFonts w:hint="default" w:ascii="Times New Roman" w:hAnsi="Times New Roman" w:cs="Times New Roman"/>
          <w:highlight w:val="none"/>
          <w:lang w:val="en-US" w:eastAsia="zh-CN"/>
        </w:rPr>
        <w:t>职责和权限</w:t>
      </w:r>
      <w:r>
        <w:rPr>
          <w:rFonts w:hint="eastAsia" w:ascii="Times New Roman" w:hAnsi="Times New Roman" w:cs="Times New Roman"/>
          <w:highlight w:val="none"/>
          <w:lang w:val="en-US" w:eastAsia="zh-CN"/>
        </w:rPr>
        <w:t>；</w:t>
      </w:r>
    </w:p>
    <w:p w14:paraId="203D2AF5">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b）</w:t>
      </w:r>
      <w:r>
        <w:rPr>
          <w:rFonts w:hint="default" w:ascii="Times New Roman" w:hAnsi="Times New Roman" w:cs="Times New Roman"/>
          <w:highlight w:val="none"/>
          <w:lang w:val="en-US" w:eastAsia="zh-CN"/>
        </w:rPr>
        <w:t>评审的基期和频次</w:t>
      </w:r>
      <w:r>
        <w:rPr>
          <w:rFonts w:hint="eastAsia" w:cs="Times New Roman"/>
          <w:highlight w:val="none"/>
          <w:lang w:val="en-US" w:eastAsia="zh-CN"/>
        </w:rPr>
        <w:t>；</w:t>
      </w:r>
    </w:p>
    <w:p w14:paraId="6E1CC816">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c）</w:t>
      </w:r>
      <w:r>
        <w:rPr>
          <w:rFonts w:hint="default" w:ascii="Times New Roman" w:hAnsi="Times New Roman" w:cs="Times New Roman"/>
          <w:highlight w:val="none"/>
          <w:lang w:val="en-US" w:eastAsia="zh-CN"/>
        </w:rPr>
        <w:t>评审的单元或范围</w:t>
      </w:r>
      <w:r>
        <w:rPr>
          <w:rFonts w:hint="eastAsia" w:cs="Times New Roman"/>
          <w:highlight w:val="none"/>
          <w:lang w:val="en-US" w:eastAsia="zh-CN"/>
        </w:rPr>
        <w:t>；</w:t>
      </w:r>
    </w:p>
    <w:p w14:paraId="5B5D4B35">
      <w:pPr>
        <w:ind w:firstLine="420" w:firstLineChars="200"/>
        <w:rPr>
          <w:rFonts w:hint="eastAsia" w:cs="Times New Roman"/>
          <w:highlight w:val="none"/>
          <w:lang w:val="en-US" w:eastAsia="zh-CN"/>
        </w:rPr>
      </w:pPr>
      <w:r>
        <w:rPr>
          <w:rFonts w:hint="eastAsia" w:cs="Times New Roman"/>
          <w:highlight w:val="none"/>
          <w:lang w:val="en-US" w:eastAsia="zh-CN"/>
        </w:rPr>
        <w:t>d）</w:t>
      </w:r>
      <w:r>
        <w:rPr>
          <w:rFonts w:hint="default" w:ascii="Times New Roman" w:hAnsi="Times New Roman" w:cs="Times New Roman"/>
          <w:highlight w:val="none"/>
          <w:lang w:val="en-US" w:eastAsia="zh-CN"/>
        </w:rPr>
        <w:t>评审依据，包括国家和地方的法律法规、测量、核算和报告的方法学</w:t>
      </w:r>
      <w:r>
        <w:rPr>
          <w:rFonts w:hint="eastAsia" w:cs="Times New Roman"/>
          <w:highlight w:val="none"/>
          <w:lang w:val="en-US" w:eastAsia="zh-CN"/>
        </w:rPr>
        <w:t>；</w:t>
      </w:r>
    </w:p>
    <w:p w14:paraId="4BB4A63C">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e）</w:t>
      </w:r>
      <w:r>
        <w:rPr>
          <w:rFonts w:hint="default" w:ascii="Times New Roman" w:hAnsi="Times New Roman" w:cs="Times New Roman"/>
          <w:highlight w:val="none"/>
          <w:lang w:val="en-US" w:eastAsia="zh-CN"/>
        </w:rPr>
        <w:t>识别碳排放源、碳汇的方法及确定重要碳排放源、碳汇的原则</w:t>
      </w:r>
      <w:r>
        <w:rPr>
          <w:rFonts w:hint="eastAsia" w:cs="Times New Roman"/>
          <w:highlight w:val="none"/>
          <w:lang w:val="en-US" w:eastAsia="zh-CN"/>
        </w:rPr>
        <w:t>；</w:t>
      </w:r>
    </w:p>
    <w:p w14:paraId="5AECC363">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f）</w:t>
      </w:r>
      <w:r>
        <w:rPr>
          <w:rFonts w:hint="default" w:ascii="Times New Roman" w:hAnsi="Times New Roman" w:cs="Times New Roman"/>
          <w:highlight w:val="none"/>
          <w:lang w:val="en-US" w:eastAsia="zh-CN"/>
        </w:rPr>
        <w:t>确定碳排放相关参数和基准的原则</w:t>
      </w:r>
      <w:r>
        <w:rPr>
          <w:rFonts w:hint="eastAsia" w:cs="Times New Roman"/>
          <w:highlight w:val="none"/>
          <w:lang w:val="en-US" w:eastAsia="zh-CN"/>
        </w:rPr>
        <w:t>；</w:t>
      </w:r>
    </w:p>
    <w:p w14:paraId="07E2653E">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g）</w:t>
      </w:r>
      <w:r>
        <w:rPr>
          <w:rFonts w:hint="default" w:ascii="Times New Roman" w:hAnsi="Times New Roman" w:cs="Times New Roman"/>
          <w:highlight w:val="none"/>
          <w:lang w:val="en-US" w:eastAsia="zh-CN"/>
        </w:rPr>
        <w:t>碳减排技术实施、碳资产计量与管理、碳足迹量化、碳交易义务实施、碳中和实现等的原则</w:t>
      </w:r>
      <w:r>
        <w:rPr>
          <w:rFonts w:hint="eastAsia" w:cs="Times New Roman"/>
          <w:highlight w:val="none"/>
          <w:lang w:val="en-US" w:eastAsia="zh-CN"/>
        </w:rPr>
        <w:t>；</w:t>
      </w:r>
    </w:p>
    <w:p w14:paraId="68CABBE8">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h）</w:t>
      </w:r>
      <w:r>
        <w:rPr>
          <w:rFonts w:hint="default" w:ascii="Times New Roman" w:hAnsi="Times New Roman" w:cs="Times New Roman"/>
          <w:highlight w:val="none"/>
          <w:lang w:val="en-US" w:eastAsia="zh-CN"/>
        </w:rPr>
        <w:t>确定改进机会原则</w:t>
      </w:r>
      <w:r>
        <w:rPr>
          <w:rFonts w:hint="eastAsia" w:cs="Times New Roman"/>
          <w:highlight w:val="none"/>
          <w:lang w:val="en-US" w:eastAsia="zh-CN"/>
        </w:rPr>
        <w:t>；</w:t>
      </w:r>
    </w:p>
    <w:p w14:paraId="2A8EECEC">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i）</w:t>
      </w:r>
      <w:r>
        <w:rPr>
          <w:rFonts w:hint="default" w:ascii="Times New Roman" w:hAnsi="Times New Roman" w:cs="Times New Roman"/>
          <w:highlight w:val="none"/>
          <w:lang w:val="en-US" w:eastAsia="zh-CN"/>
        </w:rPr>
        <w:t>评审报告的要求。</w:t>
      </w:r>
    </w:p>
    <w:p w14:paraId="53A1A52E">
      <w:pPr>
        <w:pStyle w:val="169"/>
        <w:numPr>
          <w:ilvl w:val="3"/>
          <w:numId w:val="2"/>
        </w:numPr>
        <w:bidi w:val="0"/>
        <w:ind w:left="0" w:leftChars="0" w:firstLine="0" w:firstLineChars="0"/>
        <w:rPr>
          <w:rFonts w:hint="default"/>
          <w:highlight w:val="none"/>
          <w:lang w:val="en-US" w:eastAsia="zh-CN"/>
        </w:rPr>
      </w:pPr>
      <w:r>
        <w:rPr>
          <w:rFonts w:hint="default"/>
          <w:highlight w:val="none"/>
          <w:lang w:val="en-US" w:eastAsia="zh-CN"/>
        </w:rPr>
        <w:t>评审</w:t>
      </w:r>
      <w:r>
        <w:rPr>
          <w:rFonts w:hint="eastAsia"/>
          <w:highlight w:val="none"/>
          <w:lang w:val="en-US" w:eastAsia="zh-CN"/>
        </w:rPr>
        <w:t>内容</w:t>
      </w:r>
    </w:p>
    <w:p w14:paraId="2E42907F">
      <w:pPr>
        <w:pStyle w:val="169"/>
        <w:numPr>
          <w:ilvl w:val="2"/>
          <w:numId w:val="0"/>
        </w:numPr>
        <w:bidi w:val="0"/>
        <w:ind w:leftChars="0" w:firstLine="420" w:firstLineChars="200"/>
        <w:rPr>
          <w:rFonts w:hint="default"/>
          <w:highlight w:val="none"/>
          <w:lang w:val="en-US" w:eastAsia="zh-CN"/>
        </w:rPr>
      </w:pPr>
      <w:r>
        <w:rPr>
          <w:rFonts w:hint="default"/>
          <w:highlight w:val="none"/>
          <w:lang w:val="en-US" w:eastAsia="zh-CN"/>
        </w:rPr>
        <w:t>组织在开展碳评审时应</w:t>
      </w:r>
      <w:r>
        <w:rPr>
          <w:rFonts w:hint="eastAsia"/>
          <w:highlight w:val="none"/>
          <w:lang w:val="en-US" w:eastAsia="zh-CN"/>
        </w:rPr>
        <w:t>包括但不限于以下内容</w:t>
      </w:r>
      <w:r>
        <w:rPr>
          <w:rFonts w:hint="default"/>
          <w:highlight w:val="none"/>
          <w:lang w:val="en-US" w:eastAsia="zh-CN"/>
        </w:rPr>
        <w:t>:</w:t>
      </w:r>
    </w:p>
    <w:p w14:paraId="00212A87">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a）</w:t>
      </w:r>
      <w:r>
        <w:rPr>
          <w:rFonts w:hint="default" w:ascii="Times New Roman" w:hAnsi="Times New Roman" w:cs="Times New Roman"/>
          <w:highlight w:val="none"/>
          <w:lang w:val="en-US" w:eastAsia="zh-CN"/>
        </w:rPr>
        <w:t>基于能源消耗、工艺过程排放测量结果和其它数据分析能源消耗排放及工艺过程排放的总体情况，包括</w:t>
      </w:r>
      <w:r>
        <w:rPr>
          <w:rFonts w:hint="eastAsia" w:cs="Times New Roman"/>
          <w:highlight w:val="none"/>
          <w:lang w:val="en-US" w:eastAsia="zh-CN"/>
        </w:rPr>
        <w:t>：</w:t>
      </w:r>
    </w:p>
    <w:p w14:paraId="71A1CC71">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识别过去、现在和将来的能源消耗种类的排放，以及工艺过程排放类别，如煤、天然气、柴油燃烧所产生的直接排放，石灰石、白云石等煅烧分解产生的直接排放(过程排放)，外购电力使用产生的间接排放等；</w:t>
      </w:r>
    </w:p>
    <w:p w14:paraId="2C68F299">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——基于生命周期观点，识别过去、现在和将来的温室气体种类，识别碳排放源和碳汇，依据判定准则确定重要碳排放源和重要碳汇</w:t>
      </w:r>
      <w:r>
        <w:rPr>
          <w:rFonts w:hint="eastAsia" w:ascii="Times New Roman" w:hAnsi="Times New Roman" w:cs="Times New Roman"/>
          <w:highlight w:val="none"/>
          <w:lang w:val="en-US" w:eastAsia="zh-CN"/>
        </w:rPr>
        <w:t>；</w:t>
      </w:r>
    </w:p>
    <w:p w14:paraId="06F2DFD8">
      <w:p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——对过去和现在的碳排放和清除情况进行对比分析</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识别可能会导致碳排放总量变化的其它因素</w:t>
      </w:r>
      <w:r>
        <w:rPr>
          <w:rFonts w:hint="eastAsia" w:ascii="Times New Roman" w:hAnsi="Times New Roman" w:cs="Times New Roman"/>
          <w:highlight w:val="none"/>
          <w:lang w:val="en-US" w:eastAsia="zh-CN"/>
        </w:rPr>
        <w:t>。</w:t>
      </w:r>
    </w:p>
    <w:p w14:paraId="2EE0EFE3">
      <w:p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——考虑变更，考虑新开发的活动、产品和服务，考虑异常状况和可合理预见的碳排放波动</w:t>
      </w:r>
      <w:r>
        <w:rPr>
          <w:rFonts w:hint="eastAsia" w:ascii="Times New Roman" w:hAnsi="Times New Roman" w:cs="Times New Roman"/>
          <w:highlight w:val="none"/>
          <w:lang w:val="en-US" w:eastAsia="zh-CN"/>
        </w:rPr>
        <w:t>；</w:t>
      </w:r>
    </w:p>
    <w:p w14:paraId="40B98C49">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——评价碳管理措施的有效性及当前的碳排放绩效。</w:t>
      </w:r>
    </w:p>
    <w:p w14:paraId="29A1B6F1">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b）</w:t>
      </w:r>
      <w:r>
        <w:rPr>
          <w:rFonts w:hint="default" w:ascii="Times New Roman" w:hAnsi="Times New Roman" w:cs="Times New Roman"/>
          <w:highlight w:val="none"/>
          <w:lang w:val="en-US" w:eastAsia="zh-CN"/>
        </w:rPr>
        <w:t>针对重要碳排放源和重要碳汇确定相关变量，包括</w:t>
      </w:r>
      <w:r>
        <w:rPr>
          <w:rFonts w:hint="eastAsia" w:ascii="Times New Roman" w:hAnsi="Times New Roman" w:cs="Times New Roman"/>
          <w:highlight w:val="none"/>
          <w:lang w:val="en-US" w:eastAsia="zh-CN"/>
        </w:rPr>
        <w:t>：</w:t>
      </w:r>
    </w:p>
    <w:p w14:paraId="243BA82A">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——收集活动水平数据</w:t>
      </w:r>
      <w:r>
        <w:rPr>
          <w:rFonts w:hint="eastAsia" w:ascii="Times New Roman" w:hAnsi="Times New Roman" w:cs="Times New Roman"/>
          <w:highlight w:val="none"/>
          <w:lang w:val="en-US" w:eastAsia="zh-CN"/>
        </w:rPr>
        <w:t>；</w:t>
      </w:r>
    </w:p>
    <w:p w14:paraId="29D07364">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——确定排放和清除因子</w:t>
      </w:r>
      <w:r>
        <w:rPr>
          <w:rFonts w:hint="eastAsia" w:ascii="Times New Roman" w:hAnsi="Times New Roman" w:cs="Times New Roman"/>
          <w:highlight w:val="none"/>
          <w:lang w:val="en-US" w:eastAsia="zh-CN"/>
        </w:rPr>
        <w:t>；</w:t>
      </w:r>
    </w:p>
    <w:p w14:paraId="0865BB61">
      <w:p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——确定设备、设施、系统和过程的运行参数，如</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工艺参数、环境条件</w:t>
      </w:r>
      <w:r>
        <w:rPr>
          <w:rFonts w:hint="eastAsia" w:ascii="Times New Roman" w:hAnsi="Times New Roman" w:cs="Times New Roman"/>
          <w:highlight w:val="none"/>
          <w:lang w:val="en-US" w:eastAsia="zh-CN"/>
        </w:rPr>
        <w:t>；</w:t>
      </w:r>
    </w:p>
    <w:p w14:paraId="7A4B3DC4">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c）</w:t>
      </w:r>
      <w:r>
        <w:rPr>
          <w:rFonts w:hint="default" w:ascii="Times New Roman" w:hAnsi="Times New Roman" w:cs="Times New Roman"/>
          <w:highlight w:val="none"/>
          <w:lang w:val="en-US" w:eastAsia="zh-CN"/>
        </w:rPr>
        <w:t>识别在组织控制下对重要碳排放源和重要碳汇有直接或间接影响的人员</w:t>
      </w:r>
      <w:r>
        <w:rPr>
          <w:rFonts w:hint="eastAsia" w:cs="Times New Roman"/>
          <w:highlight w:val="none"/>
          <w:lang w:val="en-US" w:eastAsia="zh-CN"/>
        </w:rPr>
        <w:t>；</w:t>
      </w:r>
      <w:r>
        <w:rPr>
          <w:rFonts w:hint="default" w:ascii="Times New Roman" w:hAnsi="Times New Roman" w:cs="Times New Roman"/>
          <w:highlight w:val="none"/>
          <w:lang w:val="en-US" w:eastAsia="zh-CN"/>
        </w:rPr>
        <w:t>确定对碳排放源和碳汇有影响的设备、设施、系统和过程，重点排放部门或重点排放设施</w:t>
      </w:r>
      <w:r>
        <w:rPr>
          <w:rFonts w:hint="eastAsia" w:cs="Times New Roman"/>
          <w:highlight w:val="none"/>
          <w:lang w:val="en-US" w:eastAsia="zh-CN"/>
        </w:rPr>
        <w:t>。</w:t>
      </w:r>
    </w:p>
    <w:p w14:paraId="7E44FF12">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d）</w:t>
      </w:r>
      <w:r>
        <w:rPr>
          <w:rFonts w:hint="default" w:ascii="Times New Roman" w:hAnsi="Times New Roman" w:cs="Times New Roman"/>
          <w:highlight w:val="none"/>
          <w:lang w:val="en-US" w:eastAsia="zh-CN"/>
        </w:rPr>
        <w:t>基于当前的碳排放绩效水平，识别并确定改进机会和碳排放管理措施，并对每项改进机会和管理措施进行评价和优先排序</w:t>
      </w:r>
      <w:r>
        <w:rPr>
          <w:rFonts w:hint="eastAsia" w:cs="Times New Roman"/>
          <w:highlight w:val="none"/>
          <w:lang w:val="en-US" w:eastAsia="zh-CN"/>
        </w:rPr>
        <w:t>；</w:t>
      </w:r>
      <w:r>
        <w:rPr>
          <w:rFonts w:hint="default" w:ascii="Times New Roman" w:hAnsi="Times New Roman" w:cs="Times New Roman"/>
          <w:highlight w:val="none"/>
          <w:lang w:val="en-US" w:eastAsia="zh-CN"/>
        </w:rPr>
        <w:t>对未来碳排放量和(或)清除量进行评估。</w:t>
      </w:r>
    </w:p>
    <w:p w14:paraId="17D73F59">
      <w:pPr>
        <w:pStyle w:val="169"/>
        <w:bidi w:val="0"/>
        <w:ind w:left="0" w:leftChars="0" w:firstLine="0" w:firstLineChars="0"/>
        <w:rPr>
          <w:rFonts w:hint="default"/>
          <w:highlight w:val="none"/>
          <w:lang w:val="en-US" w:eastAsia="zh-CN"/>
        </w:rPr>
      </w:pPr>
      <w:r>
        <w:rPr>
          <w:rFonts w:hint="eastAsia"/>
          <w:highlight w:val="none"/>
          <w:lang w:val="en-US" w:eastAsia="zh-CN"/>
        </w:rPr>
        <w:t>合规义务</w:t>
      </w:r>
    </w:p>
    <w:p w14:paraId="28D09F81">
      <w:pPr>
        <w:pStyle w:val="169"/>
        <w:numPr>
          <w:ilvl w:val="3"/>
          <w:numId w:val="2"/>
        </w:numPr>
        <w:bidi w:val="0"/>
        <w:ind w:left="0" w:leftChars="0" w:firstLine="0" w:firstLineChars="0"/>
        <w:rPr>
          <w:rFonts w:hint="default"/>
          <w:highlight w:val="none"/>
          <w:lang w:val="en-US" w:eastAsia="zh-CN"/>
        </w:rPr>
      </w:pPr>
      <w:r>
        <w:rPr>
          <w:rFonts w:hint="eastAsia"/>
          <w:highlight w:val="none"/>
          <w:lang w:val="en-US" w:eastAsia="zh-CN"/>
        </w:rPr>
        <w:t>组织</w:t>
      </w:r>
      <w:r>
        <w:rPr>
          <w:rFonts w:hint="default"/>
          <w:highlight w:val="none"/>
          <w:lang w:val="en-US" w:eastAsia="zh-CN"/>
        </w:rPr>
        <w:t>应确定获取合规义务信息的途径</w:t>
      </w:r>
      <w:r>
        <w:rPr>
          <w:rFonts w:hint="eastAsia"/>
          <w:highlight w:val="none"/>
          <w:lang w:val="en-US" w:eastAsia="zh-CN"/>
        </w:rPr>
        <w:t>，</w:t>
      </w:r>
      <w:r>
        <w:rPr>
          <w:rFonts w:hint="default"/>
          <w:highlight w:val="none"/>
          <w:lang w:val="en-US" w:eastAsia="zh-CN"/>
        </w:rPr>
        <w:t>及时获取并更新国家、地方法律法规、标准和行业性及其他要求</w:t>
      </w:r>
      <w:r>
        <w:rPr>
          <w:rFonts w:hint="eastAsia"/>
          <w:highlight w:val="none"/>
          <w:lang w:val="en-US" w:eastAsia="zh-CN"/>
        </w:rPr>
        <w:t>，</w:t>
      </w:r>
      <w:r>
        <w:rPr>
          <w:rFonts w:hint="default"/>
          <w:highlight w:val="none"/>
          <w:lang w:val="en-US" w:eastAsia="zh-CN"/>
        </w:rPr>
        <w:t>关注与</w:t>
      </w:r>
      <w:r>
        <w:rPr>
          <w:rFonts w:hint="eastAsia"/>
          <w:highlight w:val="none"/>
          <w:lang w:val="en-US" w:eastAsia="zh-CN"/>
        </w:rPr>
        <w:t>钢铁</w:t>
      </w:r>
      <w:r>
        <w:rPr>
          <w:rFonts w:hint="default"/>
          <w:highlight w:val="none"/>
          <w:lang w:val="en-US" w:eastAsia="zh-CN"/>
        </w:rPr>
        <w:t>行业及上下游相关的国家产业政策、国家推广的重点节能降碳技术</w:t>
      </w:r>
      <w:r>
        <w:rPr>
          <w:rFonts w:hint="eastAsia"/>
          <w:highlight w:val="none"/>
          <w:lang w:val="en-US" w:eastAsia="zh-CN"/>
        </w:rPr>
        <w:t>，</w:t>
      </w:r>
      <w:r>
        <w:rPr>
          <w:rFonts w:hint="default"/>
          <w:highlight w:val="none"/>
          <w:lang w:val="en-US" w:eastAsia="zh-CN"/>
        </w:rPr>
        <w:t>淘汰高耗能落后机电设备(产品)及落后产能等相关法规要求。</w:t>
      </w:r>
    </w:p>
    <w:p w14:paraId="394B0EDA">
      <w:pPr>
        <w:pStyle w:val="169"/>
        <w:numPr>
          <w:ilvl w:val="3"/>
          <w:numId w:val="2"/>
        </w:numPr>
        <w:bidi w:val="0"/>
        <w:ind w:left="0" w:leftChars="0" w:firstLine="0" w:firstLineChars="0"/>
        <w:rPr>
          <w:rFonts w:hint="default"/>
          <w:highlight w:val="none"/>
          <w:lang w:val="en-US" w:eastAsia="zh-CN"/>
        </w:rPr>
      </w:pPr>
      <w:r>
        <w:rPr>
          <w:rFonts w:hint="default"/>
          <w:highlight w:val="none"/>
          <w:lang w:val="en-US" w:eastAsia="zh-CN"/>
        </w:rPr>
        <w:t>适用时</w:t>
      </w:r>
      <w:r>
        <w:rPr>
          <w:rFonts w:hint="eastAsia"/>
          <w:highlight w:val="none"/>
          <w:lang w:val="en-US" w:eastAsia="zh-CN"/>
        </w:rPr>
        <w:t>，</w:t>
      </w:r>
      <w:r>
        <w:rPr>
          <w:rFonts w:hint="default"/>
          <w:highlight w:val="none"/>
          <w:lang w:val="en-US" w:eastAsia="zh-CN"/>
        </w:rPr>
        <w:t>强制性合规义务包括</w:t>
      </w:r>
      <w:r>
        <w:rPr>
          <w:rFonts w:hint="eastAsia"/>
          <w:highlight w:val="none"/>
          <w:lang w:val="en-US" w:eastAsia="zh-CN"/>
        </w:rPr>
        <w:t>：</w:t>
      </w:r>
    </w:p>
    <w:p w14:paraId="30C00797">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a）</w:t>
      </w:r>
      <w:r>
        <w:rPr>
          <w:rFonts w:hint="default" w:ascii="Times New Roman" w:hAnsi="Times New Roman" w:cs="Times New Roman"/>
          <w:highlight w:val="none"/>
          <w:lang w:val="en-US" w:eastAsia="zh-CN"/>
        </w:rPr>
        <w:t>国际惯例、国家/地方的法律、法规</w:t>
      </w:r>
      <w:r>
        <w:rPr>
          <w:rFonts w:hint="eastAsia" w:cs="Times New Roman"/>
          <w:highlight w:val="none"/>
          <w:lang w:val="en-US" w:eastAsia="zh-CN"/>
        </w:rPr>
        <w:t>；</w:t>
      </w:r>
    </w:p>
    <w:p w14:paraId="706E5B8F">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b）</w:t>
      </w:r>
      <w:r>
        <w:rPr>
          <w:rFonts w:hint="default" w:ascii="Times New Roman" w:hAnsi="Times New Roman" w:cs="Times New Roman"/>
          <w:highlight w:val="none"/>
          <w:lang w:val="en-US" w:eastAsia="zh-CN"/>
        </w:rPr>
        <w:t>政府机构或其他权力机构的要求</w:t>
      </w:r>
      <w:r>
        <w:rPr>
          <w:rFonts w:hint="eastAsia" w:cs="Times New Roman"/>
          <w:highlight w:val="none"/>
          <w:lang w:val="en-US" w:eastAsia="zh-CN"/>
        </w:rPr>
        <w:t>；</w:t>
      </w:r>
    </w:p>
    <w:p w14:paraId="6604589D">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c）</w:t>
      </w:r>
      <w:r>
        <w:rPr>
          <w:rFonts w:hint="default" w:ascii="Times New Roman" w:hAnsi="Times New Roman" w:cs="Times New Roman"/>
          <w:highlight w:val="none"/>
          <w:lang w:val="en-US" w:eastAsia="zh-CN"/>
        </w:rPr>
        <w:t>行政许可、执照或其他授权中规定的要求</w:t>
      </w:r>
      <w:r>
        <w:rPr>
          <w:rFonts w:hint="eastAsia" w:cs="Times New Roman"/>
          <w:highlight w:val="none"/>
          <w:lang w:val="en-US" w:eastAsia="zh-CN"/>
        </w:rPr>
        <w:t>；</w:t>
      </w:r>
    </w:p>
    <w:p w14:paraId="1FD807F6">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d）</w:t>
      </w:r>
      <w:r>
        <w:rPr>
          <w:rFonts w:hint="default" w:ascii="Times New Roman" w:hAnsi="Times New Roman" w:cs="Times New Roman"/>
          <w:highlight w:val="none"/>
          <w:lang w:val="en-US" w:eastAsia="zh-CN"/>
        </w:rPr>
        <w:t>监管机构颁布的法令、条例或指南</w:t>
      </w:r>
      <w:r>
        <w:rPr>
          <w:rFonts w:hint="eastAsia" w:cs="Times New Roman"/>
          <w:highlight w:val="none"/>
          <w:lang w:val="en-US" w:eastAsia="zh-CN"/>
        </w:rPr>
        <w:t>；</w:t>
      </w:r>
    </w:p>
    <w:p w14:paraId="5C04D900">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e）</w:t>
      </w:r>
      <w:r>
        <w:rPr>
          <w:rFonts w:hint="default" w:ascii="Times New Roman" w:hAnsi="Times New Roman" w:cs="Times New Roman"/>
          <w:highlight w:val="none"/>
          <w:lang w:val="en-US" w:eastAsia="zh-CN"/>
        </w:rPr>
        <w:t>法院或行政裁决。</w:t>
      </w:r>
    </w:p>
    <w:p w14:paraId="45335D65">
      <w:pPr>
        <w:pStyle w:val="169"/>
        <w:numPr>
          <w:ilvl w:val="3"/>
          <w:numId w:val="2"/>
        </w:numPr>
        <w:bidi w:val="0"/>
        <w:ind w:left="0" w:leftChars="0" w:firstLine="0" w:firstLineChars="0"/>
        <w:rPr>
          <w:rFonts w:hint="default"/>
          <w:highlight w:val="none"/>
          <w:lang w:val="en-US" w:eastAsia="zh-CN"/>
        </w:rPr>
      </w:pPr>
      <w:r>
        <w:rPr>
          <w:rFonts w:hint="default"/>
          <w:highlight w:val="none"/>
          <w:lang w:val="en-US" w:eastAsia="zh-CN"/>
        </w:rPr>
        <w:t>组织应对上述获取的信息进行识别</w:t>
      </w:r>
      <w:r>
        <w:rPr>
          <w:rFonts w:hint="eastAsia"/>
          <w:highlight w:val="none"/>
          <w:lang w:val="en-US" w:eastAsia="zh-CN"/>
        </w:rPr>
        <w:t>，</w:t>
      </w:r>
      <w:r>
        <w:rPr>
          <w:rFonts w:hint="default"/>
          <w:highlight w:val="none"/>
          <w:lang w:val="en-US" w:eastAsia="zh-CN"/>
        </w:rPr>
        <w:t>找出应遵照执行的合规义务</w:t>
      </w:r>
      <w:r>
        <w:rPr>
          <w:rFonts w:hint="eastAsia"/>
          <w:highlight w:val="none"/>
          <w:lang w:val="en-US" w:eastAsia="zh-CN"/>
        </w:rPr>
        <w:t>，</w:t>
      </w:r>
      <w:r>
        <w:rPr>
          <w:rFonts w:hint="default"/>
          <w:highlight w:val="none"/>
          <w:lang w:val="en-US" w:eastAsia="zh-CN"/>
        </w:rPr>
        <w:t>并在建立、实施、保持和持续改进其碳管理体系时加以应用。组织应保留合规义务的文件化信息。</w:t>
      </w:r>
    </w:p>
    <w:p w14:paraId="682BDBDC">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碳绩效参数</w:t>
      </w:r>
    </w:p>
    <w:p w14:paraId="632BD948">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组织应识别并确定碳绩效参数：</w:t>
      </w:r>
    </w:p>
    <w:p w14:paraId="00B9A582">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a）适合于监视和测量其碳绩效；</w:t>
      </w:r>
    </w:p>
    <w:p w14:paraId="6659D9E1">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b）能使组织证实其碳绩效改进。</w:t>
      </w:r>
    </w:p>
    <w:p w14:paraId="64893043">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eastAsia" w:ascii="Times New Roman" w:cs="Times New Roman"/>
          <w:highlight w:val="none"/>
          <w:lang w:val="en-US" w:eastAsia="zh-CN"/>
        </w:rPr>
        <w:t>钢铁</w:t>
      </w:r>
      <w:r>
        <w:rPr>
          <w:rFonts w:hint="default" w:ascii="Times New Roman" w:hAnsi="Times New Roman" w:cs="Times New Roman"/>
          <w:highlight w:val="none"/>
          <w:lang w:val="en-US" w:eastAsia="zh-CN"/>
        </w:rPr>
        <w:t>企业碳绩效参数至少应包括</w:t>
      </w:r>
      <w:r>
        <w:rPr>
          <w:rFonts w:hint="eastAsia" w:ascii="Times New Roman" w:cs="Times New Roman"/>
          <w:highlight w:val="none"/>
          <w:lang w:val="en-US" w:eastAsia="zh-CN"/>
        </w:rPr>
        <w:t>：</w:t>
      </w:r>
    </w:p>
    <w:p w14:paraId="719C4CB3">
      <w:pPr>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a）</w:t>
      </w:r>
      <w:r>
        <w:rPr>
          <w:rFonts w:hint="default" w:ascii="Times New Roman" w:hAnsi="Times New Roman" w:cs="Times New Roman"/>
          <w:highlight w:val="none"/>
          <w:lang w:val="en-US" w:eastAsia="zh-CN"/>
        </w:rPr>
        <w:t>企业层面</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反映</w:t>
      </w:r>
      <w:r>
        <w:rPr>
          <w:rFonts w:hint="eastAsia" w:ascii="Times New Roman" w:hAnsi="Times New Roman" w:cs="Times New Roman"/>
          <w:highlight w:val="none"/>
          <w:lang w:val="en-US" w:eastAsia="zh-CN"/>
        </w:rPr>
        <w:t>钢铁</w:t>
      </w:r>
      <w:r>
        <w:rPr>
          <w:rFonts w:hint="default" w:ascii="Times New Roman" w:hAnsi="Times New Roman" w:cs="Times New Roman"/>
          <w:highlight w:val="none"/>
          <w:lang w:val="en-US" w:eastAsia="zh-CN"/>
        </w:rPr>
        <w:t>企业整体碳管理状况的绩效参数</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如碳排放总量、单位产值碳排放量</w:t>
      </w:r>
      <w:r>
        <w:rPr>
          <w:rFonts w:hint="eastAsia" w:ascii="Times New Roman" w:hAnsi="Times New Roman" w:cs="Times New Roman"/>
          <w:highlight w:val="none"/>
          <w:lang w:val="en-US" w:eastAsia="zh-CN"/>
        </w:rPr>
        <w:t>；</w:t>
      </w:r>
    </w:p>
    <w:p w14:paraId="51E25B59">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b）</w:t>
      </w:r>
      <w:r>
        <w:rPr>
          <w:rFonts w:hint="eastAsia" w:cs="Times New Roman"/>
          <w:highlight w:val="none"/>
          <w:lang w:val="en-US" w:eastAsia="zh-CN"/>
        </w:rPr>
        <w:t>工序</w:t>
      </w:r>
      <w:r>
        <w:rPr>
          <w:rFonts w:hint="default" w:ascii="Times New Roman" w:hAnsi="Times New Roman" w:cs="Times New Roman"/>
          <w:highlight w:val="none"/>
          <w:lang w:val="en-US" w:eastAsia="zh-CN"/>
        </w:rPr>
        <w:t>层面</w:t>
      </w:r>
      <w:r>
        <w:rPr>
          <w:rFonts w:hint="eastAsia" w:cs="Times New Roman"/>
          <w:highlight w:val="none"/>
          <w:lang w:val="en-US" w:eastAsia="zh-CN"/>
        </w:rPr>
        <w:t>：</w:t>
      </w:r>
      <w:r>
        <w:rPr>
          <w:rFonts w:hint="default" w:ascii="Times New Roman" w:hAnsi="Times New Roman" w:cs="Times New Roman"/>
          <w:highlight w:val="none"/>
          <w:lang w:val="en-US" w:eastAsia="zh-CN"/>
        </w:rPr>
        <w:t>反映企业不同车间</w:t>
      </w:r>
      <w:r>
        <w:rPr>
          <w:rFonts w:hint="eastAsia" w:cs="Times New Roman"/>
          <w:highlight w:val="none"/>
          <w:lang w:val="en-US" w:eastAsia="zh-CN"/>
        </w:rPr>
        <w:t>或工序</w:t>
      </w:r>
      <w:r>
        <w:rPr>
          <w:rFonts w:hint="default" w:ascii="Times New Roman" w:hAnsi="Times New Roman" w:cs="Times New Roman"/>
          <w:highlight w:val="none"/>
          <w:lang w:val="en-US" w:eastAsia="zh-CN"/>
        </w:rPr>
        <w:t>碳排放水平的绩效参数</w:t>
      </w:r>
      <w:r>
        <w:rPr>
          <w:rFonts w:hint="eastAsia" w:cs="Times New Roman"/>
          <w:highlight w:val="none"/>
          <w:lang w:val="en-US" w:eastAsia="zh-CN"/>
        </w:rPr>
        <w:t>，</w:t>
      </w:r>
      <w:r>
        <w:rPr>
          <w:rFonts w:hint="default" w:ascii="Times New Roman" w:hAnsi="Times New Roman" w:cs="Times New Roman"/>
          <w:highlight w:val="none"/>
          <w:lang w:val="en-US" w:eastAsia="zh-CN"/>
        </w:rPr>
        <w:t>如</w:t>
      </w:r>
      <w:r>
        <w:rPr>
          <w:rFonts w:hint="eastAsia" w:cs="Times New Roman"/>
          <w:highlight w:val="none"/>
          <w:lang w:val="en-US" w:eastAsia="zh-CN"/>
        </w:rPr>
        <w:t>烧结、炼铁、炼钢</w:t>
      </w:r>
      <w:r>
        <w:rPr>
          <w:rFonts w:hint="default" w:ascii="Times New Roman" w:hAnsi="Times New Roman" w:cs="Times New Roman"/>
          <w:highlight w:val="none"/>
          <w:lang w:val="en-US" w:eastAsia="zh-CN"/>
        </w:rPr>
        <w:t>等不同</w:t>
      </w:r>
      <w:r>
        <w:rPr>
          <w:rFonts w:hint="eastAsia" w:cs="Times New Roman"/>
          <w:highlight w:val="none"/>
          <w:lang w:val="en-US" w:eastAsia="zh-CN"/>
        </w:rPr>
        <w:t>工序</w:t>
      </w:r>
      <w:r>
        <w:rPr>
          <w:rFonts w:hint="default" w:ascii="Times New Roman" w:hAnsi="Times New Roman" w:cs="Times New Roman"/>
          <w:highlight w:val="none"/>
          <w:lang w:val="en-US" w:eastAsia="zh-CN"/>
        </w:rPr>
        <w:t>的碳排放量</w:t>
      </w:r>
      <w:r>
        <w:rPr>
          <w:rFonts w:hint="eastAsia" w:cs="Times New Roman"/>
          <w:highlight w:val="none"/>
          <w:lang w:val="en-US" w:eastAsia="zh-CN"/>
        </w:rPr>
        <w:t>；</w:t>
      </w:r>
    </w:p>
    <w:p w14:paraId="771EC7F2">
      <w:pPr>
        <w:ind w:firstLine="420" w:firstLineChars="200"/>
        <w:rPr>
          <w:rFonts w:hint="default" w:ascii="Times New Roman" w:hAnsi="Times New Roman" w:cs="Times New Roman"/>
          <w:highlight w:val="yellow"/>
          <w:lang w:val="en-US" w:eastAsia="zh-CN"/>
        </w:rPr>
      </w:pPr>
      <w:r>
        <w:rPr>
          <w:rFonts w:hint="eastAsia" w:cs="Times New Roman"/>
          <w:highlight w:val="none"/>
          <w:lang w:val="en-US" w:eastAsia="zh-CN"/>
        </w:rPr>
        <w:t>c）产品</w:t>
      </w:r>
      <w:r>
        <w:rPr>
          <w:rFonts w:hint="default" w:ascii="Times New Roman" w:hAnsi="Times New Roman" w:cs="Times New Roman"/>
          <w:highlight w:val="none"/>
          <w:lang w:val="en-US" w:eastAsia="zh-CN"/>
        </w:rPr>
        <w:t>层面</w:t>
      </w:r>
      <w:r>
        <w:rPr>
          <w:rFonts w:hint="eastAsia" w:cs="Times New Roman"/>
          <w:highlight w:val="none"/>
          <w:lang w:val="en-US" w:eastAsia="zh-CN"/>
        </w:rPr>
        <w:t>：</w:t>
      </w:r>
      <w:r>
        <w:rPr>
          <w:rFonts w:hint="default" w:ascii="Times New Roman" w:hAnsi="Times New Roman" w:cs="Times New Roman"/>
          <w:highlight w:val="none"/>
          <w:lang w:val="en-US" w:eastAsia="zh-CN"/>
        </w:rPr>
        <w:t>反映</w:t>
      </w:r>
      <w:r>
        <w:rPr>
          <w:rFonts w:hint="eastAsia" w:cs="Times New Roman"/>
          <w:highlight w:val="none"/>
          <w:lang w:val="en-US" w:eastAsia="zh-CN"/>
        </w:rPr>
        <w:t>产品</w:t>
      </w:r>
      <w:r>
        <w:rPr>
          <w:rFonts w:hint="default" w:ascii="Times New Roman" w:hAnsi="Times New Roman" w:cs="Times New Roman"/>
          <w:highlight w:val="none"/>
          <w:lang w:val="en-US" w:eastAsia="zh-CN"/>
        </w:rPr>
        <w:t>的</w:t>
      </w:r>
      <w:r>
        <w:rPr>
          <w:rFonts w:hint="eastAsia" w:cs="Times New Roman"/>
          <w:highlight w:val="none"/>
          <w:lang w:val="en-US" w:eastAsia="zh-CN"/>
        </w:rPr>
        <w:t>绩效</w:t>
      </w:r>
      <w:r>
        <w:rPr>
          <w:rFonts w:hint="default" w:ascii="Times New Roman" w:hAnsi="Times New Roman" w:cs="Times New Roman"/>
          <w:highlight w:val="none"/>
          <w:lang w:val="en-US" w:eastAsia="zh-CN"/>
        </w:rPr>
        <w:t>参数</w:t>
      </w:r>
      <w:r>
        <w:rPr>
          <w:rFonts w:hint="eastAsia" w:cs="Times New Roman"/>
          <w:highlight w:val="none"/>
          <w:lang w:val="en-US" w:eastAsia="zh-CN"/>
        </w:rPr>
        <w:t>，</w:t>
      </w:r>
      <w:r>
        <w:rPr>
          <w:rFonts w:hint="default" w:ascii="Times New Roman" w:hAnsi="Times New Roman" w:cs="Times New Roman"/>
          <w:highlight w:val="none"/>
          <w:lang w:val="en-US" w:eastAsia="zh-CN"/>
        </w:rPr>
        <w:t>如</w:t>
      </w:r>
      <w:r>
        <w:rPr>
          <w:rFonts w:hint="eastAsia" w:cs="Times New Roman"/>
          <w:highlight w:val="none"/>
          <w:lang w:val="en-US" w:eastAsia="zh-CN"/>
        </w:rPr>
        <w:t>碳排放强度、产品碳足迹；</w:t>
      </w:r>
    </w:p>
    <w:p w14:paraId="337F0C7B">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碳基准</w:t>
      </w:r>
    </w:p>
    <w:p w14:paraId="4CF4ECE2">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组织</w:t>
      </w:r>
      <w:r>
        <w:rPr>
          <w:rFonts w:hint="default" w:ascii="Times New Roman" w:hAnsi="Times New Roman" w:cs="Times New Roman"/>
          <w:highlight w:val="none"/>
          <w:lang w:val="en-US" w:eastAsia="zh-CN"/>
        </w:rPr>
        <w:t>应利用碳评审的信息和确定的参数</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在不同层次上建立碳基准。对于可以单独核算部门、生产单元、设施设备等宜分层次建立碳基准。应考虑碳排放核算边界、核算方法、计量手</w:t>
      </w:r>
      <w:r>
        <w:rPr>
          <w:rFonts w:hint="eastAsia" w:ascii="Times New Roman" w:hAnsi="Times New Roman" w:cs="Times New Roman"/>
          <w:highlight w:val="none"/>
          <w:lang w:val="en-US" w:eastAsia="zh-CN"/>
        </w:rPr>
        <w:t>段</w:t>
      </w:r>
      <w:r>
        <w:rPr>
          <w:rFonts w:hint="default" w:ascii="Times New Roman" w:hAnsi="Times New Roman" w:cs="Times New Roman"/>
          <w:highlight w:val="none"/>
          <w:lang w:val="en-US" w:eastAsia="zh-CN"/>
        </w:rPr>
        <w:t>、区时、行业水平</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监测计划等因素。</w:t>
      </w:r>
      <w:r>
        <w:rPr>
          <w:rFonts w:hint="eastAsia" w:ascii="Times New Roman" w:cs="Times New Roman"/>
          <w:highlight w:val="none"/>
          <w:lang w:val="en-US" w:eastAsia="zh-CN"/>
        </w:rPr>
        <w:t>碳基准可通过以下方式表达：</w:t>
      </w:r>
    </w:p>
    <w:p w14:paraId="3E89F6E6">
      <w:pPr>
        <w:pStyle w:val="160"/>
        <w:rPr>
          <w:rFonts w:hint="default"/>
          <w:lang w:val="en-US" w:eastAsia="zh-CN"/>
        </w:rPr>
      </w:pPr>
      <w:r>
        <w:rPr>
          <w:rFonts w:hint="eastAsia" w:ascii="Times New Roman" w:cs="Times New Roman"/>
          <w:highlight w:val="none"/>
          <w:lang w:val="en-US" w:eastAsia="zh-CN"/>
        </w:rPr>
        <w:t>a）组织碳排放量，如碳排放总量、单位产值碳排放量、单位产品碳排放量；</w:t>
      </w:r>
    </w:p>
    <w:p w14:paraId="55314A6B">
      <w:pPr>
        <w:pStyle w:val="160"/>
        <w:rPr>
          <w:rFonts w:hint="eastAsia"/>
          <w:lang w:val="en-US" w:eastAsia="zh-CN"/>
        </w:rPr>
      </w:pPr>
      <w:r>
        <w:rPr>
          <w:rFonts w:hint="eastAsia"/>
          <w:lang w:val="en-US" w:eastAsia="zh-CN"/>
        </w:rPr>
        <w:t>b）工序碳排放量，如烧结工序碳排放量、炼铁工序碳排放量、炼钢工序碳排放量等。</w:t>
      </w:r>
    </w:p>
    <w:p w14:paraId="284F4297">
      <w:pPr>
        <w:ind w:firstLine="360" w:firstLineChars="200"/>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注：可参照附录A设定组织碳基准。</w:t>
      </w:r>
    </w:p>
    <w:p w14:paraId="26D9A8CF">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组织应通过与碳基准的对比，对碳绩效进行监视和测量。当出现以下情况时，应对碳基准进行评审</w:t>
      </w:r>
      <w:r>
        <w:rPr>
          <w:rFonts w:hint="eastAsia" w:ascii="Times New Roman" w:hAnsi="Times New Roman" w:cs="Times New Roman"/>
          <w:highlight w:val="none"/>
          <w:lang w:val="en-US" w:eastAsia="zh-CN"/>
        </w:rPr>
        <w:t>：</w:t>
      </w:r>
    </w:p>
    <w:p w14:paraId="0E506F1B">
      <w:pPr>
        <w:pStyle w:val="160"/>
        <w:rPr>
          <w:rFonts w:hint="eastAsia" w:ascii="Times New Roman" w:cs="Times New Roman"/>
          <w:highlight w:val="none"/>
          <w:lang w:val="en-US" w:eastAsia="zh-CN"/>
        </w:rPr>
      </w:pPr>
      <w:r>
        <w:rPr>
          <w:rFonts w:hint="eastAsia" w:ascii="Times New Roman" w:cs="Times New Roman"/>
          <w:highlight w:val="none"/>
          <w:lang w:val="en-US" w:eastAsia="zh-CN"/>
        </w:rPr>
        <w:t>a）</w:t>
      </w:r>
      <w:r>
        <w:rPr>
          <w:rFonts w:hint="default" w:ascii="Times New Roman" w:cs="Times New Roman"/>
          <w:highlight w:val="none"/>
          <w:lang w:val="en-US" w:eastAsia="zh-CN"/>
        </w:rPr>
        <w:t>碳管理体系范围内的核算边界发生变化，如生产规模、区域变化</w:t>
      </w:r>
      <w:r>
        <w:rPr>
          <w:rFonts w:hint="eastAsia" w:ascii="Times New Roman" w:cs="Times New Roman"/>
          <w:highlight w:val="none"/>
          <w:lang w:val="en-US" w:eastAsia="zh-CN"/>
        </w:rPr>
        <w:t>；</w:t>
      </w:r>
    </w:p>
    <w:p w14:paraId="1DD1DB5D">
      <w:pPr>
        <w:pStyle w:val="160"/>
        <w:rPr>
          <w:rFonts w:hint="default" w:ascii="Times New Roman" w:cs="Times New Roman"/>
          <w:highlight w:val="none"/>
          <w:lang w:val="en-US" w:eastAsia="zh-CN"/>
        </w:rPr>
      </w:pPr>
      <w:r>
        <w:rPr>
          <w:rFonts w:hint="eastAsia" w:ascii="Times New Roman" w:cs="Times New Roman"/>
          <w:highlight w:val="none"/>
          <w:lang w:val="en-US" w:eastAsia="zh-CN"/>
        </w:rPr>
        <w:t>b）</w:t>
      </w:r>
      <w:r>
        <w:rPr>
          <w:rFonts w:hint="default" w:ascii="Times New Roman" w:cs="Times New Roman"/>
          <w:highlight w:val="none"/>
          <w:lang w:val="en-US" w:eastAsia="zh-CN"/>
        </w:rPr>
        <w:t>主要原材料调整，</w:t>
      </w:r>
      <w:r>
        <w:rPr>
          <w:rFonts w:hint="eastAsia" w:ascii="Times New Roman" w:cs="Times New Roman"/>
          <w:highlight w:val="none"/>
          <w:lang w:val="en-US" w:eastAsia="zh-CN"/>
        </w:rPr>
        <w:t>如石灰石、白云石等含碳物料变化，铁合金产品品种变化；</w:t>
      </w:r>
    </w:p>
    <w:p w14:paraId="07247404">
      <w:pPr>
        <w:pStyle w:val="160"/>
        <w:rPr>
          <w:rFonts w:hint="default" w:ascii="Times New Roman" w:cs="Times New Roman"/>
          <w:highlight w:val="none"/>
          <w:lang w:val="en-US" w:eastAsia="zh-CN"/>
        </w:rPr>
      </w:pPr>
      <w:r>
        <w:rPr>
          <w:rFonts w:hint="eastAsia" w:ascii="Times New Roman" w:cs="Times New Roman"/>
          <w:highlight w:val="none"/>
          <w:lang w:val="en-US" w:eastAsia="zh-CN"/>
        </w:rPr>
        <w:t>c）</w:t>
      </w:r>
      <w:r>
        <w:rPr>
          <w:rFonts w:hint="default" w:ascii="Times New Roman" w:cs="Times New Roman"/>
          <w:highlight w:val="none"/>
          <w:lang w:val="en-US" w:eastAsia="zh-CN"/>
        </w:rPr>
        <w:t>主要设备、设施变化，如</w:t>
      </w:r>
      <w:r>
        <w:rPr>
          <w:rFonts w:hint="eastAsia" w:ascii="Times New Roman" w:cs="Times New Roman"/>
          <w:highlight w:val="none"/>
          <w:lang w:val="en-US" w:eastAsia="zh-CN"/>
        </w:rPr>
        <w:t>设备</w:t>
      </w:r>
      <w:r>
        <w:rPr>
          <w:rFonts w:hint="default" w:ascii="Times New Roman" w:cs="Times New Roman"/>
          <w:highlight w:val="none"/>
          <w:lang w:val="en-US" w:eastAsia="zh-CN"/>
        </w:rPr>
        <w:t>改造、计量系统变化</w:t>
      </w:r>
      <w:r>
        <w:rPr>
          <w:rFonts w:hint="eastAsia" w:ascii="Times New Roman" w:cs="Times New Roman"/>
          <w:highlight w:val="none"/>
          <w:lang w:val="en-US" w:eastAsia="zh-CN"/>
        </w:rPr>
        <w:t>；</w:t>
      </w:r>
    </w:p>
    <w:p w14:paraId="46824D1A">
      <w:pPr>
        <w:pStyle w:val="160"/>
        <w:rPr>
          <w:rFonts w:hint="eastAsia" w:ascii="Times New Roman" w:cs="Times New Roman"/>
          <w:highlight w:val="none"/>
          <w:lang w:val="en-US" w:eastAsia="zh-CN"/>
        </w:rPr>
      </w:pPr>
      <w:r>
        <w:rPr>
          <w:rFonts w:hint="eastAsia" w:ascii="Times New Roman" w:cs="Times New Roman"/>
          <w:highlight w:val="none"/>
          <w:lang w:val="en-US" w:eastAsia="zh-CN"/>
        </w:rPr>
        <w:t>d）</w:t>
      </w:r>
      <w:r>
        <w:rPr>
          <w:rFonts w:hint="default" w:ascii="Times New Roman" w:cs="Times New Roman"/>
          <w:highlight w:val="none"/>
          <w:lang w:val="en-US" w:eastAsia="zh-CN"/>
        </w:rPr>
        <w:t>生产工艺变化，如</w:t>
      </w:r>
      <w:r>
        <w:rPr>
          <w:rFonts w:hint="eastAsia" w:ascii="Times New Roman" w:cs="Times New Roman"/>
          <w:highlight w:val="none"/>
          <w:lang w:val="en-US" w:eastAsia="zh-CN"/>
        </w:rPr>
        <w:t>长流程改为短流程、非高炉炼铁等工艺；</w:t>
      </w:r>
    </w:p>
    <w:p w14:paraId="611AB048">
      <w:pPr>
        <w:pStyle w:val="160"/>
        <w:rPr>
          <w:rFonts w:hint="default" w:ascii="Times New Roman" w:cs="Times New Roman"/>
          <w:highlight w:val="none"/>
          <w:lang w:val="en-US" w:eastAsia="zh-CN"/>
        </w:rPr>
      </w:pPr>
      <w:r>
        <w:rPr>
          <w:rFonts w:hint="eastAsia" w:ascii="Times New Roman" w:cs="Times New Roman"/>
          <w:highlight w:val="none"/>
          <w:lang w:val="en-US" w:eastAsia="zh-CN"/>
        </w:rPr>
        <w:t>e）</w:t>
      </w:r>
      <w:r>
        <w:rPr>
          <w:rFonts w:hint="default" w:ascii="Times New Roman" w:cs="Times New Roman"/>
          <w:highlight w:val="none"/>
          <w:lang w:val="en-US" w:eastAsia="zh-CN"/>
        </w:rPr>
        <w:t>产品变化，如产品种类、质量要求变化</w:t>
      </w:r>
      <w:r>
        <w:rPr>
          <w:rFonts w:hint="eastAsia" w:ascii="Times New Roman" w:cs="Times New Roman"/>
          <w:highlight w:val="none"/>
          <w:lang w:val="en-US" w:eastAsia="zh-CN"/>
        </w:rPr>
        <w:t>；</w:t>
      </w:r>
    </w:p>
    <w:p w14:paraId="32F65F4D">
      <w:pPr>
        <w:pStyle w:val="160"/>
        <w:rPr>
          <w:rFonts w:hint="default" w:ascii="Times New Roman" w:cs="Times New Roman"/>
          <w:highlight w:val="none"/>
          <w:lang w:val="en-US" w:eastAsia="zh-CN"/>
        </w:rPr>
      </w:pPr>
      <w:r>
        <w:rPr>
          <w:rFonts w:hint="eastAsia" w:ascii="Times New Roman" w:cs="Times New Roman"/>
          <w:highlight w:val="none"/>
          <w:lang w:val="en-US" w:eastAsia="zh-CN"/>
        </w:rPr>
        <w:t>f）</w:t>
      </w:r>
      <w:r>
        <w:rPr>
          <w:rFonts w:hint="default" w:ascii="Times New Roman" w:cs="Times New Roman"/>
          <w:highlight w:val="none"/>
          <w:lang w:val="en-US" w:eastAsia="zh-CN"/>
        </w:rPr>
        <w:t>能源种类有重大变更，如</w:t>
      </w:r>
      <w:r>
        <w:rPr>
          <w:rFonts w:hint="eastAsia" w:ascii="Times New Roman" w:cs="Times New Roman"/>
          <w:highlight w:val="none"/>
          <w:lang w:val="en-US" w:eastAsia="zh-CN"/>
        </w:rPr>
        <w:t>高炉富氢冶炼；</w:t>
      </w:r>
    </w:p>
    <w:p w14:paraId="164DBB8C">
      <w:pPr>
        <w:pStyle w:val="160"/>
        <w:rPr>
          <w:rFonts w:hint="default" w:ascii="Times New Roman" w:cs="Times New Roman"/>
          <w:highlight w:val="none"/>
          <w:lang w:val="en-US" w:eastAsia="zh-CN"/>
        </w:rPr>
      </w:pPr>
      <w:r>
        <w:rPr>
          <w:rFonts w:hint="eastAsia" w:ascii="Times New Roman" w:cs="Times New Roman"/>
          <w:highlight w:val="none"/>
          <w:lang w:val="en-US" w:eastAsia="zh-CN"/>
        </w:rPr>
        <w:t>g）</w:t>
      </w:r>
      <w:r>
        <w:rPr>
          <w:rFonts w:hint="default" w:ascii="Times New Roman" w:cs="Times New Roman"/>
          <w:highlight w:val="none"/>
          <w:lang w:val="en-US" w:eastAsia="zh-CN"/>
        </w:rPr>
        <w:t>其它变更，如产品标准、排放标准、能耗限额标准、行业碳排放平均水平的变化、上游供应商改变导致原料的隐含碳发生变化(适用时)等。</w:t>
      </w:r>
    </w:p>
    <w:p w14:paraId="48D88F99">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依据评审结果，必要时可对碳排放基准进行调整。组织应保留碳排放基准的文件化信息。</w:t>
      </w:r>
    </w:p>
    <w:p w14:paraId="72F23F98">
      <w:pPr>
        <w:pStyle w:val="169"/>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碳数据的收集策划</w:t>
      </w:r>
    </w:p>
    <w:p w14:paraId="721C4616">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应符合T/CCAA 39-2022中6.1.6的要求。</w:t>
      </w:r>
    </w:p>
    <w:p w14:paraId="12CAC8A5">
      <w:pPr>
        <w:pStyle w:val="169"/>
        <w:numPr>
          <w:ilvl w:val="3"/>
          <w:numId w:val="2"/>
        </w:numPr>
        <w:bidi w:val="0"/>
        <w:ind w:left="0" w:leftChars="0" w:firstLine="0" w:firstLineChars="0"/>
        <w:rPr>
          <w:rFonts w:hint="default"/>
          <w:highlight w:val="none"/>
          <w:lang w:val="en-US" w:eastAsia="zh-CN"/>
        </w:rPr>
      </w:pPr>
      <w:r>
        <w:rPr>
          <w:rFonts w:hint="eastAsia"/>
          <w:highlight w:val="none"/>
          <w:lang w:val="en-US" w:eastAsia="zh-CN"/>
        </w:rPr>
        <w:t>获取碳排放数据</w:t>
      </w:r>
    </w:p>
    <w:p w14:paraId="64CFDB11">
      <w:pPr>
        <w:pStyle w:val="169"/>
        <w:numPr>
          <w:ilvl w:val="4"/>
          <w:numId w:val="2"/>
        </w:numPr>
        <w:bidi w:val="0"/>
        <w:ind w:left="0" w:leftChars="0" w:firstLine="0" w:firstLineChars="0"/>
        <w:rPr>
          <w:rFonts w:hint="default"/>
          <w:highlight w:val="none"/>
          <w:lang w:val="en-US" w:eastAsia="zh-CN"/>
        </w:rPr>
      </w:pPr>
      <w:r>
        <w:rPr>
          <w:rFonts w:hint="default"/>
          <w:highlight w:val="none"/>
          <w:lang w:val="en-US" w:eastAsia="zh-CN"/>
        </w:rPr>
        <w:t>组织应采取可行且合规的方式(如开展碳排放清单编制及分析、碳核算、碳核查、碳足迹量化、能源审计等)，通过测量及数据统计，获取各生产系统、辅助生产系统和附属生产系统，适用时包括上下游供应链中在过去和当前的碳排放数据，分析和评价当前的碳排放水平。</w:t>
      </w:r>
    </w:p>
    <w:p w14:paraId="308EDCEE">
      <w:pPr>
        <w:pStyle w:val="169"/>
        <w:numPr>
          <w:ilvl w:val="4"/>
          <w:numId w:val="2"/>
        </w:numPr>
        <w:bidi w:val="0"/>
        <w:ind w:left="0" w:leftChars="0" w:firstLine="0" w:firstLineChars="0"/>
        <w:rPr>
          <w:rFonts w:hint="default"/>
          <w:highlight w:val="none"/>
          <w:lang w:val="en-US" w:eastAsia="zh-CN"/>
        </w:rPr>
      </w:pPr>
      <w:r>
        <w:rPr>
          <w:rFonts w:hint="default"/>
          <w:highlight w:val="none"/>
          <w:lang w:val="en-US" w:eastAsia="zh-CN"/>
        </w:rPr>
        <w:t>组织应获取的碳排放数据包括但不限于:</w:t>
      </w:r>
    </w:p>
    <w:p w14:paraId="22466B5A">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a）</w:t>
      </w:r>
      <w:r>
        <w:rPr>
          <w:rFonts w:hint="default" w:ascii="Times New Roman" w:hAnsi="Times New Roman" w:cs="Times New Roman"/>
          <w:highlight w:val="none"/>
          <w:lang w:val="en-US" w:eastAsia="zh-CN"/>
        </w:rPr>
        <w:t>直接排放，如燃料燃烧排放、</w:t>
      </w:r>
      <w:r>
        <w:rPr>
          <w:rFonts w:hint="eastAsia" w:ascii="Times New Roman" w:hAnsi="Times New Roman" w:cs="Times New Roman"/>
          <w:highlight w:val="none"/>
          <w:lang w:val="en-US" w:eastAsia="zh-CN"/>
        </w:rPr>
        <w:t>石灰石煅烧</w:t>
      </w:r>
      <w:r>
        <w:rPr>
          <w:rFonts w:hint="default" w:ascii="Times New Roman" w:hAnsi="Times New Roman" w:cs="Times New Roman"/>
          <w:highlight w:val="none"/>
          <w:lang w:val="en-US" w:eastAsia="zh-CN"/>
        </w:rPr>
        <w:t>分解排放</w:t>
      </w:r>
      <w:r>
        <w:rPr>
          <w:rFonts w:hint="eastAsia" w:ascii="Times New Roman" w:hAnsi="Times New Roman" w:cs="Times New Roman"/>
          <w:highlight w:val="none"/>
          <w:lang w:val="en-US" w:eastAsia="zh-CN"/>
        </w:rPr>
        <w:t>；</w:t>
      </w:r>
    </w:p>
    <w:p w14:paraId="1940EEB0">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b）</w:t>
      </w:r>
      <w:r>
        <w:rPr>
          <w:rFonts w:hint="default" w:ascii="Times New Roman" w:hAnsi="Times New Roman" w:cs="Times New Roman"/>
          <w:highlight w:val="none"/>
          <w:lang w:val="en-US" w:eastAsia="zh-CN"/>
        </w:rPr>
        <w:t>间接排放，如输入和输出的电力、热力所对应生产环节产生的排放</w:t>
      </w:r>
      <w:r>
        <w:rPr>
          <w:rFonts w:hint="eastAsia" w:ascii="Times New Roman" w:hAnsi="Times New Roman" w:cs="Times New Roman"/>
          <w:highlight w:val="none"/>
          <w:lang w:val="en-US" w:eastAsia="zh-CN"/>
        </w:rPr>
        <w:t>；</w:t>
      </w:r>
    </w:p>
    <w:p w14:paraId="4536A0CB">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c）</w:t>
      </w:r>
      <w:r>
        <w:rPr>
          <w:rFonts w:hint="default" w:ascii="Times New Roman" w:hAnsi="Times New Roman" w:cs="Times New Roman"/>
          <w:highlight w:val="none"/>
          <w:lang w:val="en-US" w:eastAsia="zh-CN"/>
        </w:rPr>
        <w:t>其他排放，如基于生命周期观点。</w:t>
      </w:r>
    </w:p>
    <w:p w14:paraId="4CD6B208">
      <w:pPr>
        <w:ind w:firstLine="360" w:firstLineChars="200"/>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注：可参照附录B设定碳排放数据收集表。</w:t>
      </w:r>
    </w:p>
    <w:p w14:paraId="1C6EF106">
      <w:pPr>
        <w:pStyle w:val="169"/>
        <w:numPr>
          <w:ilvl w:val="4"/>
          <w:numId w:val="2"/>
        </w:numPr>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组织可通过GB/T 32150、GB/T 32151.</w:t>
      </w:r>
      <w:r>
        <w:rPr>
          <w:rFonts w:hint="eastAsia" w:ascii="Times New Roman" w:cs="Times New Roman"/>
          <w:highlight w:val="none"/>
          <w:lang w:val="en-US" w:eastAsia="zh-CN"/>
        </w:rPr>
        <w:t>5</w:t>
      </w:r>
      <w:r>
        <w:rPr>
          <w:rFonts w:hint="default" w:ascii="Times New Roman" w:hAnsi="Times New Roman" w:cs="Times New Roman"/>
          <w:highlight w:val="none"/>
          <w:lang w:val="en-US" w:eastAsia="zh-CN"/>
        </w:rPr>
        <w:t xml:space="preserve">、GB/T </w:t>
      </w:r>
      <w:r>
        <w:rPr>
          <w:rFonts w:hint="eastAsia" w:ascii="Times New Roman" w:cs="Times New Roman"/>
          <w:highlight w:val="none"/>
          <w:lang w:val="en-US" w:eastAsia="zh-CN"/>
        </w:rPr>
        <w:t>24067</w:t>
      </w:r>
      <w:r>
        <w:rPr>
          <w:rFonts w:hint="default" w:ascii="Times New Roman" w:hAnsi="Times New Roman" w:cs="Times New Roman"/>
          <w:highlight w:val="none"/>
          <w:lang w:val="en-US" w:eastAsia="zh-CN"/>
        </w:rPr>
        <w:t>等标准对其碳排放数据进行计算，也可使用碳排放清单、碳核算、碳核</w:t>
      </w:r>
      <w:r>
        <w:rPr>
          <w:rFonts w:hint="eastAsia" w:ascii="Times New Roman" w:cs="Times New Roman"/>
          <w:highlight w:val="none"/>
          <w:lang w:val="en-US" w:eastAsia="zh-CN"/>
        </w:rPr>
        <w:t>查</w:t>
      </w:r>
      <w:r>
        <w:rPr>
          <w:rFonts w:hint="default" w:ascii="Times New Roman" w:hAnsi="Times New Roman" w:cs="Times New Roman"/>
          <w:highlight w:val="none"/>
          <w:lang w:val="en-US" w:eastAsia="zh-CN"/>
        </w:rPr>
        <w:t>、低碳产品认证</w:t>
      </w:r>
      <w:r>
        <w:rPr>
          <w:rFonts w:hint="eastAsia" w:ascii="Times New Roman" w:cs="Times New Roman"/>
          <w:highlight w:val="none"/>
          <w:lang w:val="en-US" w:eastAsia="zh-CN"/>
        </w:rPr>
        <w:t>、产品碳足迹认证、</w:t>
      </w:r>
      <w:r>
        <w:rPr>
          <w:rFonts w:hint="default" w:ascii="Times New Roman" w:hAnsi="Times New Roman" w:cs="Times New Roman"/>
          <w:highlight w:val="none"/>
          <w:lang w:val="en-US" w:eastAsia="zh-CN"/>
        </w:rPr>
        <w:t>能源审计等数据或结果。</w:t>
      </w:r>
    </w:p>
    <w:p w14:paraId="1F92F14C">
      <w:pPr>
        <w:pStyle w:val="43"/>
        <w:spacing w:before="156" w:after="156"/>
        <w:outlineLvl w:val="9"/>
        <w:rPr>
          <w:rFonts w:hint="default" w:ascii="宋体" w:eastAsia="宋体"/>
          <w:bCs/>
          <w:szCs w:val="22"/>
          <w:highlight w:val="none"/>
          <w:lang w:val="en-US" w:eastAsia="zh-CN"/>
        </w:rPr>
      </w:pPr>
      <w:r>
        <w:rPr>
          <w:rFonts w:hint="eastAsia" w:ascii="宋体" w:eastAsia="宋体"/>
          <w:bCs/>
          <w:szCs w:val="22"/>
          <w:highlight w:val="none"/>
          <w:lang w:val="en-US" w:eastAsia="zh-CN"/>
        </w:rPr>
        <w:t>碳目标、指标及其实现的策划</w:t>
      </w:r>
    </w:p>
    <w:p w14:paraId="72A05814">
      <w:pPr>
        <w:pStyle w:val="169"/>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碳目标和指标</w:t>
      </w:r>
    </w:p>
    <w:p w14:paraId="3D24A4C2">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应符合T/CCAA 39-2022中6.2.1的要求</w:t>
      </w:r>
      <w:r>
        <w:rPr>
          <w:rFonts w:hint="eastAsia" w:ascii="Times New Roman" w:cs="Times New Roman"/>
          <w:highlight w:val="none"/>
          <w:lang w:val="en-US" w:eastAsia="zh-CN"/>
        </w:rPr>
        <w:t>。</w:t>
      </w:r>
    </w:p>
    <w:p w14:paraId="226488D9">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组织应在组织层面及相关职能、层次建立碳目标，如：</w:t>
      </w:r>
    </w:p>
    <w:p w14:paraId="440D6260">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a）</w:t>
      </w:r>
      <w:r>
        <w:rPr>
          <w:rFonts w:hint="default" w:ascii="Times New Roman" w:hAnsi="Times New Roman" w:cs="Times New Roman"/>
          <w:highlight w:val="none"/>
          <w:lang w:val="en-US" w:eastAsia="zh-CN"/>
        </w:rPr>
        <w:t>单位产品碳排放目标</w:t>
      </w:r>
      <w:r>
        <w:rPr>
          <w:rFonts w:hint="eastAsia" w:cs="Times New Roman"/>
          <w:highlight w:val="none"/>
          <w:lang w:val="en-US" w:eastAsia="zh-CN"/>
        </w:rPr>
        <w:t>；</w:t>
      </w:r>
    </w:p>
    <w:p w14:paraId="7957AEDA">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b）</w:t>
      </w:r>
      <w:r>
        <w:rPr>
          <w:rFonts w:hint="default" w:ascii="Times New Roman" w:hAnsi="Times New Roman" w:cs="Times New Roman"/>
          <w:highlight w:val="none"/>
          <w:lang w:val="en-US" w:eastAsia="zh-CN"/>
        </w:rPr>
        <w:t>主要生产过程的碳排放指标</w:t>
      </w:r>
      <w:r>
        <w:rPr>
          <w:rFonts w:hint="eastAsia" w:cs="Times New Roman"/>
          <w:highlight w:val="none"/>
          <w:lang w:val="en-US" w:eastAsia="zh-CN"/>
        </w:rPr>
        <w:t>；</w:t>
      </w:r>
    </w:p>
    <w:p w14:paraId="3864CBCB">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c）</w:t>
      </w:r>
      <w:r>
        <w:rPr>
          <w:rFonts w:hint="default" w:ascii="Times New Roman" w:hAnsi="Times New Roman" w:cs="Times New Roman"/>
          <w:highlight w:val="none"/>
          <w:lang w:val="en-US" w:eastAsia="zh-CN"/>
        </w:rPr>
        <w:t>主要设备设施的碳排放指标</w:t>
      </w:r>
      <w:r>
        <w:rPr>
          <w:rFonts w:hint="eastAsia" w:cs="Times New Roman"/>
          <w:highlight w:val="none"/>
          <w:lang w:val="en-US" w:eastAsia="zh-CN"/>
        </w:rPr>
        <w:t>；</w:t>
      </w:r>
    </w:p>
    <w:p w14:paraId="7E99E95F">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d）</w:t>
      </w:r>
      <w:r>
        <w:rPr>
          <w:rFonts w:hint="default" w:ascii="Times New Roman" w:hAnsi="Times New Roman" w:cs="Times New Roman"/>
          <w:highlight w:val="none"/>
          <w:lang w:val="en-US" w:eastAsia="zh-CN"/>
        </w:rPr>
        <w:t>适用时，基于生命周期观点建立产品碳足迹量化指标</w:t>
      </w:r>
      <w:r>
        <w:rPr>
          <w:rFonts w:hint="eastAsia" w:cs="Times New Roman"/>
          <w:highlight w:val="none"/>
          <w:lang w:val="en-US" w:eastAsia="zh-CN"/>
        </w:rPr>
        <w:t>；</w:t>
      </w:r>
    </w:p>
    <w:p w14:paraId="30A620DB">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e）</w:t>
      </w:r>
      <w:r>
        <w:rPr>
          <w:rFonts w:hint="default" w:ascii="Times New Roman" w:hAnsi="Times New Roman" w:cs="Times New Roman"/>
          <w:highlight w:val="none"/>
          <w:lang w:val="en-US" w:eastAsia="zh-CN"/>
        </w:rPr>
        <w:t>适用时，基于碳减排项目建立项目层面碳排放指标。</w:t>
      </w:r>
    </w:p>
    <w:p w14:paraId="332B099B">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碳目标应与其碳方针相一致，应可测量、</w:t>
      </w:r>
      <w:r>
        <w:rPr>
          <w:rFonts w:hint="eastAsia" w:ascii="Times New Roman" w:hAnsi="Times New Roman" w:cs="Times New Roman"/>
          <w:highlight w:val="none"/>
          <w:lang w:val="en-US" w:eastAsia="zh-CN"/>
        </w:rPr>
        <w:t>可</w:t>
      </w:r>
      <w:r>
        <w:rPr>
          <w:rFonts w:hint="default" w:ascii="Times New Roman" w:hAnsi="Times New Roman" w:cs="Times New Roman"/>
          <w:highlight w:val="none"/>
          <w:lang w:val="en-US" w:eastAsia="zh-CN"/>
        </w:rPr>
        <w:t>监视，必要时予以更新，适用时，碳目标包括中长期目标。</w:t>
      </w:r>
    </w:p>
    <w:p w14:paraId="0C5128A0">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在建立碳目标时，应全面考虑其重要碳排放源、碳汇、碳资产，以及相关的合规义务、风险和机遇、相关方需求以及碳绩效的改进机会，同时还应考虑财务、运行、经营条件、可选择的技术方案和相关方的意见。</w:t>
      </w:r>
    </w:p>
    <w:p w14:paraId="2E76894F">
      <w:pPr>
        <w:pStyle w:val="169"/>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碳目标和指标实现的策划</w:t>
      </w:r>
    </w:p>
    <w:p w14:paraId="73AE5D4F">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应符合T/CCAA</w:t>
      </w:r>
      <w:r>
        <w:rPr>
          <w:rFonts w:hint="eastAsia" w:ascii="Times New Roman" w:cs="Times New Roman"/>
          <w:highlight w:val="none"/>
          <w:lang w:val="en-US" w:eastAsia="zh-CN"/>
        </w:rPr>
        <w:t xml:space="preserve"> </w:t>
      </w:r>
      <w:r>
        <w:rPr>
          <w:rFonts w:hint="default" w:ascii="Times New Roman" w:hAnsi="Times New Roman" w:cs="Times New Roman"/>
          <w:highlight w:val="none"/>
          <w:lang w:val="en-US" w:eastAsia="zh-CN"/>
        </w:rPr>
        <w:t>39-2022中6.2.2的要求</w:t>
      </w:r>
      <w:r>
        <w:rPr>
          <w:rFonts w:hint="eastAsia" w:ascii="Times New Roman" w:cs="Times New Roman"/>
          <w:highlight w:val="none"/>
          <w:lang w:val="en-US" w:eastAsia="zh-CN"/>
        </w:rPr>
        <w:t>。</w:t>
      </w:r>
    </w:p>
    <w:p w14:paraId="202AA0A2">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eastAsia" w:ascii="Times New Roman" w:cs="Times New Roman"/>
          <w:highlight w:val="none"/>
          <w:lang w:val="en-US" w:eastAsia="zh-CN"/>
        </w:rPr>
        <w:t>组织</w:t>
      </w:r>
      <w:r>
        <w:rPr>
          <w:rFonts w:hint="default" w:ascii="Times New Roman" w:hAnsi="Times New Roman" w:cs="Times New Roman"/>
          <w:highlight w:val="none"/>
          <w:lang w:val="en-US" w:eastAsia="zh-CN"/>
        </w:rPr>
        <w:t>碳目标和指标的实现宜从以下方面策划相应的措施</w:t>
      </w:r>
      <w:r>
        <w:rPr>
          <w:rFonts w:hint="eastAsia" w:ascii="Times New Roman" w:cs="Times New Roman"/>
          <w:highlight w:val="none"/>
          <w:lang w:val="en-US" w:eastAsia="zh-CN"/>
        </w:rPr>
        <w:t>：</w:t>
      </w:r>
    </w:p>
    <w:p w14:paraId="303BC780">
      <w:pPr>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a）</w:t>
      </w:r>
      <w:r>
        <w:rPr>
          <w:rFonts w:hint="default" w:ascii="Times New Roman" w:hAnsi="Times New Roman" w:cs="Times New Roman"/>
          <w:highlight w:val="none"/>
          <w:lang w:val="en-US" w:eastAsia="zh-CN"/>
        </w:rPr>
        <w:t>加强设计开发</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采用低碳设计</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优先选用低碳原材料</w:t>
      </w:r>
      <w:r>
        <w:rPr>
          <w:rFonts w:hint="eastAsia" w:ascii="Times New Roman" w:hAnsi="Times New Roman" w:cs="Times New Roman"/>
          <w:highlight w:val="none"/>
          <w:lang w:val="en-US" w:eastAsia="zh-CN"/>
        </w:rPr>
        <w:t>；</w:t>
      </w:r>
    </w:p>
    <w:p w14:paraId="547175CF">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b）</w:t>
      </w:r>
      <w:r>
        <w:rPr>
          <w:rFonts w:hint="default" w:ascii="Times New Roman" w:hAnsi="Times New Roman" w:cs="Times New Roman"/>
          <w:highlight w:val="none"/>
          <w:lang w:val="en-US" w:eastAsia="zh-CN"/>
        </w:rPr>
        <w:t>实施低碳供应链</w:t>
      </w:r>
      <w:r>
        <w:rPr>
          <w:rFonts w:hint="eastAsia" w:cs="Times New Roman"/>
          <w:highlight w:val="none"/>
          <w:lang w:val="en-US" w:eastAsia="zh-CN"/>
        </w:rPr>
        <w:t>：</w:t>
      </w:r>
      <w:r>
        <w:rPr>
          <w:rFonts w:hint="default" w:ascii="Times New Roman" w:hAnsi="Times New Roman" w:cs="Times New Roman"/>
          <w:highlight w:val="none"/>
          <w:lang w:val="en-US" w:eastAsia="zh-CN"/>
        </w:rPr>
        <w:t>采购碳足迹水平低的原材料</w:t>
      </w:r>
      <w:r>
        <w:rPr>
          <w:rFonts w:hint="eastAsia" w:cs="Times New Roman"/>
          <w:highlight w:val="none"/>
          <w:lang w:val="en-US" w:eastAsia="zh-CN"/>
        </w:rPr>
        <w:t>；</w:t>
      </w:r>
    </w:p>
    <w:p w14:paraId="325C5C69">
      <w:pPr>
        <w:ind w:firstLine="420" w:firstLineChars="200"/>
        <w:rPr>
          <w:rFonts w:hint="eastAsia" w:cs="Times New Roman"/>
          <w:highlight w:val="none"/>
          <w:lang w:val="en-US" w:eastAsia="zh-CN"/>
        </w:rPr>
      </w:pPr>
      <w:r>
        <w:rPr>
          <w:rFonts w:hint="eastAsia" w:cs="Times New Roman"/>
          <w:highlight w:val="none"/>
          <w:lang w:val="en-US" w:eastAsia="zh-CN"/>
        </w:rPr>
        <w:t>c）</w:t>
      </w:r>
      <w:r>
        <w:rPr>
          <w:rFonts w:hint="default" w:ascii="Times New Roman" w:hAnsi="Times New Roman" w:cs="Times New Roman"/>
          <w:highlight w:val="none"/>
          <w:lang w:val="en-US" w:eastAsia="zh-CN"/>
        </w:rPr>
        <w:t>优化工艺流程</w:t>
      </w:r>
      <w:r>
        <w:rPr>
          <w:rFonts w:hint="eastAsia" w:cs="Times New Roman"/>
          <w:highlight w:val="none"/>
          <w:lang w:val="en-US" w:eastAsia="zh-CN"/>
        </w:rPr>
        <w:t>：</w:t>
      </w:r>
      <w:r>
        <w:rPr>
          <w:rFonts w:hint="default" w:ascii="Times New Roman" w:hAnsi="Times New Roman" w:cs="Times New Roman"/>
          <w:highlight w:val="none"/>
          <w:lang w:val="en-US" w:eastAsia="zh-CN"/>
        </w:rPr>
        <w:t>采用先进的生产工艺和设备</w:t>
      </w:r>
      <w:r>
        <w:rPr>
          <w:rFonts w:hint="eastAsia" w:cs="Times New Roman"/>
          <w:highlight w:val="none"/>
          <w:lang w:val="en-US" w:eastAsia="zh-CN"/>
        </w:rPr>
        <w:t>，</w:t>
      </w:r>
      <w:r>
        <w:rPr>
          <w:rFonts w:hint="default" w:ascii="Times New Roman" w:hAnsi="Times New Roman" w:cs="Times New Roman"/>
          <w:highlight w:val="none"/>
          <w:lang w:val="en-US" w:eastAsia="zh-CN"/>
        </w:rPr>
        <w:t>优化生产流程</w:t>
      </w:r>
      <w:r>
        <w:rPr>
          <w:rFonts w:hint="eastAsia" w:cs="Times New Roman"/>
          <w:highlight w:val="none"/>
          <w:lang w:val="en-US" w:eastAsia="zh-CN"/>
        </w:rPr>
        <w:t>，</w:t>
      </w:r>
      <w:r>
        <w:rPr>
          <w:rFonts w:hint="default" w:ascii="Times New Roman" w:hAnsi="Times New Roman" w:cs="Times New Roman"/>
          <w:highlight w:val="none"/>
          <w:lang w:val="en-US" w:eastAsia="zh-CN"/>
        </w:rPr>
        <w:t>减少能源消耗</w:t>
      </w:r>
      <w:r>
        <w:rPr>
          <w:rFonts w:hint="eastAsia" w:cs="Times New Roman"/>
          <w:highlight w:val="none"/>
          <w:lang w:val="en-US" w:eastAsia="zh-CN"/>
        </w:rPr>
        <w:t>；</w:t>
      </w:r>
    </w:p>
    <w:p w14:paraId="343EF9E4">
      <w:pPr>
        <w:ind w:firstLine="420" w:firstLineChars="200"/>
        <w:rPr>
          <w:rFonts w:hint="eastAsia" w:cs="Times New Roman"/>
          <w:highlight w:val="none"/>
          <w:lang w:val="en-US" w:eastAsia="zh-CN"/>
        </w:rPr>
      </w:pPr>
      <w:r>
        <w:rPr>
          <w:rFonts w:hint="eastAsia" w:cs="Times New Roman"/>
          <w:highlight w:val="none"/>
          <w:lang w:val="en-US" w:eastAsia="zh-CN"/>
        </w:rPr>
        <w:t>d）</w:t>
      </w:r>
      <w:r>
        <w:rPr>
          <w:rFonts w:hint="default" w:ascii="Times New Roman" w:hAnsi="Times New Roman" w:cs="Times New Roman"/>
          <w:highlight w:val="none"/>
          <w:lang w:val="en-US" w:eastAsia="zh-CN"/>
        </w:rPr>
        <w:t>加强设施管理</w:t>
      </w:r>
      <w:r>
        <w:rPr>
          <w:rFonts w:hint="eastAsia" w:cs="Times New Roman"/>
          <w:highlight w:val="none"/>
          <w:lang w:val="en-US" w:eastAsia="zh-CN"/>
        </w:rPr>
        <w:t>：</w:t>
      </w:r>
      <w:r>
        <w:rPr>
          <w:rFonts w:hint="default" w:ascii="Times New Roman" w:hAnsi="Times New Roman" w:cs="Times New Roman"/>
          <w:highlight w:val="none"/>
          <w:lang w:val="en-US" w:eastAsia="zh-CN"/>
        </w:rPr>
        <w:t>定期对辅助设备设施进行维护和检修</w:t>
      </w:r>
      <w:r>
        <w:rPr>
          <w:rFonts w:hint="eastAsia" w:cs="Times New Roman"/>
          <w:highlight w:val="none"/>
          <w:lang w:val="en-US" w:eastAsia="zh-CN"/>
        </w:rPr>
        <w:t>，</w:t>
      </w:r>
      <w:r>
        <w:rPr>
          <w:rFonts w:hint="default" w:ascii="Times New Roman" w:hAnsi="Times New Roman" w:cs="Times New Roman"/>
          <w:highlight w:val="none"/>
          <w:lang w:val="en-US" w:eastAsia="zh-CN"/>
        </w:rPr>
        <w:t>确保其正常运行</w:t>
      </w:r>
      <w:r>
        <w:rPr>
          <w:rFonts w:hint="eastAsia" w:cs="Times New Roman"/>
          <w:highlight w:val="none"/>
          <w:lang w:val="en-US" w:eastAsia="zh-CN"/>
        </w:rPr>
        <w:t>；</w:t>
      </w:r>
    </w:p>
    <w:p w14:paraId="7D729A68">
      <w:pPr>
        <w:ind w:firstLine="420" w:firstLineChars="200"/>
        <w:rPr>
          <w:rFonts w:hint="eastAsia" w:cs="Times New Roman"/>
          <w:highlight w:val="none"/>
          <w:lang w:val="en-US" w:eastAsia="zh-CN"/>
        </w:rPr>
      </w:pPr>
      <w:r>
        <w:rPr>
          <w:rFonts w:hint="eastAsia" w:cs="Times New Roman"/>
          <w:highlight w:val="none"/>
          <w:lang w:val="en-US" w:eastAsia="zh-CN"/>
        </w:rPr>
        <w:t>e）用能结构调整：采用可再生能源，</w:t>
      </w:r>
      <w:r>
        <w:rPr>
          <w:rFonts w:hint="default" w:ascii="Times New Roman" w:hAnsi="Times New Roman" w:cs="Times New Roman"/>
          <w:highlight w:val="none"/>
          <w:lang w:val="en-US" w:eastAsia="zh-CN"/>
        </w:rPr>
        <w:t>如采购绿电、自建光伏发电等</w:t>
      </w:r>
      <w:r>
        <w:rPr>
          <w:rFonts w:hint="eastAsia" w:cs="Times New Roman"/>
          <w:highlight w:val="none"/>
          <w:lang w:val="en-US" w:eastAsia="zh-CN"/>
        </w:rPr>
        <w:t>；</w:t>
      </w:r>
    </w:p>
    <w:p w14:paraId="337F48C6">
      <w:pPr>
        <w:ind w:firstLine="420" w:firstLineChars="200"/>
        <w:rPr>
          <w:rFonts w:hint="default" w:cs="Times New Roman"/>
          <w:highlight w:val="none"/>
          <w:lang w:val="en-US" w:eastAsia="zh-CN"/>
        </w:rPr>
      </w:pPr>
      <w:r>
        <w:rPr>
          <w:rFonts w:hint="eastAsia" w:cs="Times New Roman"/>
          <w:highlight w:val="none"/>
          <w:lang w:val="en-US" w:eastAsia="zh-CN"/>
        </w:rPr>
        <w:t>f）采用碳抵消措施：购买碳配额等。</w:t>
      </w:r>
    </w:p>
    <w:p w14:paraId="152B54CC">
      <w:pPr>
        <w:pStyle w:val="43"/>
        <w:spacing w:before="156" w:after="156"/>
        <w:outlineLvl w:val="9"/>
        <w:rPr>
          <w:rFonts w:hint="default" w:ascii="宋体" w:eastAsia="宋体"/>
          <w:bCs/>
          <w:szCs w:val="22"/>
          <w:highlight w:val="none"/>
          <w:lang w:val="en-US" w:eastAsia="zh-CN"/>
        </w:rPr>
      </w:pPr>
      <w:r>
        <w:rPr>
          <w:rFonts w:hint="eastAsia" w:ascii="宋体" w:eastAsia="宋体"/>
          <w:bCs/>
          <w:szCs w:val="22"/>
          <w:highlight w:val="none"/>
          <w:lang w:val="en-US" w:eastAsia="zh-CN"/>
        </w:rPr>
        <w:t>变更的策划</w:t>
      </w:r>
    </w:p>
    <w:p w14:paraId="7EDE65A8">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当组织确定碳管理体系进行变更时，应以所策划的方式来实施变更。组织应考虑</w:t>
      </w:r>
      <w:r>
        <w:rPr>
          <w:rFonts w:hint="eastAsia" w:ascii="Times New Roman" w:cs="Times New Roman"/>
          <w:highlight w:val="none"/>
          <w:lang w:val="en-US" w:eastAsia="zh-CN"/>
        </w:rPr>
        <w:t>：</w:t>
      </w:r>
    </w:p>
    <w:p w14:paraId="0136F650">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a）</w:t>
      </w:r>
      <w:r>
        <w:rPr>
          <w:rFonts w:hint="default" w:ascii="Times New Roman" w:hAnsi="Times New Roman" w:cs="Times New Roman"/>
          <w:highlight w:val="none"/>
          <w:lang w:val="en-US" w:eastAsia="zh-CN"/>
        </w:rPr>
        <w:t>变更目的及其潜在后果</w:t>
      </w:r>
      <w:r>
        <w:rPr>
          <w:rFonts w:hint="eastAsia" w:cs="Times New Roman"/>
          <w:highlight w:val="none"/>
          <w:lang w:val="en-US" w:eastAsia="zh-CN"/>
        </w:rPr>
        <w:t>；</w:t>
      </w:r>
    </w:p>
    <w:p w14:paraId="6A1860B2">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b）</w:t>
      </w:r>
      <w:r>
        <w:rPr>
          <w:rFonts w:hint="default" w:ascii="Times New Roman" w:hAnsi="Times New Roman" w:cs="Times New Roman"/>
          <w:highlight w:val="none"/>
          <w:lang w:val="en-US" w:eastAsia="zh-CN"/>
        </w:rPr>
        <w:t>碳管理体系的完整性</w:t>
      </w:r>
      <w:r>
        <w:rPr>
          <w:rFonts w:hint="eastAsia" w:cs="Times New Roman"/>
          <w:highlight w:val="none"/>
          <w:lang w:val="en-US" w:eastAsia="zh-CN"/>
        </w:rPr>
        <w:t>；</w:t>
      </w:r>
    </w:p>
    <w:p w14:paraId="32597F43">
      <w:pPr>
        <w:ind w:firstLine="420" w:firstLineChars="200"/>
        <w:rPr>
          <w:rFonts w:hint="default" w:ascii="Times New Roman" w:hAnsi="Times New Roman" w:cs="Times New Roman"/>
          <w:highlight w:val="none"/>
          <w:lang w:val="en-US" w:eastAsia="zh-CN"/>
        </w:rPr>
      </w:pPr>
      <w:r>
        <w:rPr>
          <w:rFonts w:hint="eastAsia" w:cs="Times New Roman"/>
          <w:highlight w:val="none"/>
          <w:lang w:val="en-US" w:eastAsia="zh-CN"/>
        </w:rPr>
        <w:t>c）</w:t>
      </w:r>
      <w:r>
        <w:rPr>
          <w:rFonts w:hint="default" w:ascii="Times New Roman" w:hAnsi="Times New Roman" w:cs="Times New Roman"/>
          <w:highlight w:val="none"/>
          <w:lang w:val="en-US" w:eastAsia="zh-CN"/>
        </w:rPr>
        <w:t>资源的可获得性</w:t>
      </w:r>
      <w:r>
        <w:rPr>
          <w:rFonts w:hint="eastAsia" w:cs="Times New Roman"/>
          <w:highlight w:val="none"/>
          <w:lang w:val="en-US" w:eastAsia="zh-CN"/>
        </w:rPr>
        <w:t>；</w:t>
      </w:r>
    </w:p>
    <w:p w14:paraId="4C91A403">
      <w:pPr>
        <w:pStyle w:val="160"/>
        <w:rPr>
          <w:rFonts w:hint="default" w:ascii="Times New Roman" w:cs="Times New Roman"/>
          <w:highlight w:val="none"/>
          <w:lang w:val="en-US" w:eastAsia="zh-CN"/>
        </w:rPr>
      </w:pPr>
      <w:r>
        <w:rPr>
          <w:rFonts w:hint="eastAsia" w:ascii="Times New Roman" w:cs="Times New Roman"/>
          <w:highlight w:val="none"/>
          <w:lang w:val="en-US" w:eastAsia="zh-CN"/>
        </w:rPr>
        <w:t>d）</w:t>
      </w:r>
      <w:r>
        <w:rPr>
          <w:rFonts w:hint="default" w:ascii="Times New Roman" w:cs="Times New Roman"/>
          <w:highlight w:val="none"/>
          <w:lang w:val="en-US" w:eastAsia="zh-CN"/>
        </w:rPr>
        <w:t>职责和权限的分配或再分配。</w:t>
      </w:r>
    </w:p>
    <w:p w14:paraId="1E5894CE">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组织应</w:t>
      </w:r>
      <w:r>
        <w:rPr>
          <w:rFonts w:hint="eastAsia" w:ascii="Times New Roman" w:cs="Times New Roman"/>
          <w:highlight w:val="none"/>
          <w:lang w:val="en-US" w:eastAsia="zh-CN"/>
        </w:rPr>
        <w:t>保留变更</w:t>
      </w:r>
      <w:r>
        <w:rPr>
          <w:rFonts w:hint="default" w:ascii="Times New Roman" w:hAnsi="Times New Roman" w:cs="Times New Roman"/>
          <w:highlight w:val="none"/>
          <w:lang w:val="en-US" w:eastAsia="zh-CN"/>
        </w:rPr>
        <w:t>的文件化信息。</w:t>
      </w:r>
    </w:p>
    <w:p w14:paraId="50807B6A">
      <w:pPr>
        <w:pStyle w:val="46"/>
        <w:spacing w:before="312" w:after="312"/>
        <w:rPr>
          <w:rFonts w:hint="default"/>
          <w:highlight w:val="none"/>
          <w:lang w:val="en-US" w:eastAsia="zh-CN"/>
        </w:rPr>
      </w:pPr>
      <w:bookmarkStart w:id="95" w:name="_Toc23847"/>
      <w:bookmarkStart w:id="96" w:name="_Toc31973"/>
      <w:r>
        <w:rPr>
          <w:rFonts w:hint="eastAsia"/>
          <w:highlight w:val="none"/>
          <w:lang w:val="en-US" w:eastAsia="zh-CN"/>
        </w:rPr>
        <w:t>支持</w:t>
      </w:r>
      <w:bookmarkEnd w:id="95"/>
      <w:bookmarkEnd w:id="96"/>
    </w:p>
    <w:p w14:paraId="76C8B632">
      <w:pPr>
        <w:pStyle w:val="43"/>
        <w:spacing w:before="156" w:after="156"/>
        <w:outlineLvl w:val="9"/>
        <w:rPr>
          <w:rFonts w:hint="default" w:ascii="宋体" w:eastAsia="宋体"/>
          <w:bCs/>
          <w:szCs w:val="22"/>
          <w:highlight w:val="none"/>
          <w:lang w:val="en-US" w:eastAsia="zh-CN"/>
        </w:rPr>
      </w:pPr>
      <w:bookmarkStart w:id="97" w:name="_Toc19834"/>
      <w:r>
        <w:rPr>
          <w:rFonts w:hint="eastAsia" w:ascii="宋体" w:eastAsia="宋体"/>
          <w:bCs/>
          <w:szCs w:val="22"/>
          <w:highlight w:val="none"/>
          <w:lang w:val="en-US" w:eastAsia="zh-CN"/>
        </w:rPr>
        <w:t>资源</w:t>
      </w:r>
      <w:bookmarkEnd w:id="97"/>
    </w:p>
    <w:p w14:paraId="7FE1A2B1">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组织应确定并提供建立、实施、保持和持续改进碳管理体系和碳绩效所需的资源。资源宜包括</w:t>
      </w:r>
      <w:r>
        <w:rPr>
          <w:rFonts w:hint="eastAsia" w:ascii="Times New Roman" w:hAnsi="Times New Roman" w:cs="Times New Roman"/>
          <w:highlight w:val="none"/>
          <w:lang w:val="en-US" w:eastAsia="zh-CN"/>
        </w:rPr>
        <w:t>：</w:t>
      </w:r>
    </w:p>
    <w:p w14:paraId="19D305D8">
      <w:pPr>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a</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建筑物和构筑物</w:t>
      </w:r>
      <w:r>
        <w:rPr>
          <w:rFonts w:hint="default" w:ascii="Times New Roman" w:hAnsi="Times New Roman" w:cs="Times New Roman"/>
          <w:highlight w:val="none"/>
          <w:lang w:val="en-US" w:eastAsia="zh-CN"/>
        </w:rPr>
        <w:t>，如</w:t>
      </w:r>
      <w:r>
        <w:rPr>
          <w:rFonts w:hint="eastAsia" w:ascii="Times New Roman" w:hAnsi="Times New Roman" w:cs="Times New Roman"/>
          <w:highlight w:val="none"/>
          <w:lang w:val="en-US" w:eastAsia="zh-CN"/>
        </w:rPr>
        <w:t>办公楼、厂房、料棚、车间；</w:t>
      </w:r>
    </w:p>
    <w:p w14:paraId="764A2834">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b）基础设施，如烧结机、高炉等主要生产设备；风机、水泵、电机等辅助生产设备；</w:t>
      </w:r>
    </w:p>
    <w:p w14:paraId="5AB5CD40">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c）</w:t>
      </w:r>
      <w:r>
        <w:rPr>
          <w:rFonts w:hint="default" w:ascii="Times New Roman" w:hAnsi="Times New Roman" w:cs="Times New Roman"/>
          <w:highlight w:val="none"/>
          <w:lang w:val="en-US" w:eastAsia="zh-CN"/>
        </w:rPr>
        <w:t>人力资源</w:t>
      </w:r>
      <w:r>
        <w:rPr>
          <w:rFonts w:hint="eastAsia" w:ascii="Times New Roman" w:hAnsi="Times New Roman" w:cs="Times New Roman"/>
          <w:highlight w:val="none"/>
          <w:lang w:val="en-US" w:eastAsia="zh-CN"/>
        </w:rPr>
        <w:t>，如碳排放核算人员、碳资产管理人员、碳足迹量化人员等；</w:t>
      </w:r>
    </w:p>
    <w:p w14:paraId="430FAFA5">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d）检化验，如检测设备等；</w:t>
      </w:r>
    </w:p>
    <w:p w14:paraId="4DB85FF8">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e</w:t>
      </w:r>
      <w:r>
        <w:rPr>
          <w:rFonts w:hint="default" w:ascii="Times New Roman" w:hAnsi="Times New Roman" w:cs="Times New Roman"/>
          <w:highlight w:val="none"/>
          <w:lang w:val="en-US" w:eastAsia="zh-CN"/>
        </w:rPr>
        <w:t>）工作环境</w:t>
      </w:r>
      <w:r>
        <w:rPr>
          <w:rFonts w:hint="eastAsia" w:ascii="Times New Roman" w:hAnsi="Times New Roman" w:cs="Times New Roman"/>
          <w:highlight w:val="none"/>
          <w:lang w:val="en-US" w:eastAsia="zh-CN"/>
        </w:rPr>
        <w:t>及生产运行</w:t>
      </w:r>
      <w:r>
        <w:rPr>
          <w:rFonts w:hint="default" w:ascii="Times New Roman" w:hAnsi="Times New Roman" w:cs="Times New Roman"/>
          <w:highlight w:val="none"/>
          <w:lang w:val="en-US" w:eastAsia="zh-CN"/>
        </w:rPr>
        <w:t>的环境。</w:t>
      </w:r>
    </w:p>
    <w:p w14:paraId="5B7439AB">
      <w:pPr>
        <w:pStyle w:val="43"/>
        <w:spacing w:before="156" w:after="156"/>
        <w:outlineLvl w:val="9"/>
        <w:rPr>
          <w:rFonts w:hint="default" w:ascii="宋体" w:eastAsia="宋体"/>
          <w:bCs/>
          <w:szCs w:val="22"/>
          <w:highlight w:val="none"/>
          <w:lang w:val="en-US" w:eastAsia="zh-CN"/>
        </w:rPr>
      </w:pPr>
      <w:bookmarkStart w:id="98" w:name="_Toc877"/>
      <w:r>
        <w:rPr>
          <w:rFonts w:hint="eastAsia" w:ascii="宋体" w:eastAsia="宋体"/>
          <w:bCs/>
          <w:szCs w:val="22"/>
          <w:highlight w:val="none"/>
          <w:lang w:val="en-US" w:eastAsia="zh-CN"/>
        </w:rPr>
        <w:t>能力</w:t>
      </w:r>
      <w:bookmarkEnd w:id="98"/>
    </w:p>
    <w:p w14:paraId="7C60A75C">
      <w:pPr>
        <w:pStyle w:val="169"/>
        <w:bidi w:val="0"/>
        <w:ind w:left="0" w:leftChars="0" w:firstLine="0" w:firstLineChars="0"/>
        <w:rPr>
          <w:rFonts w:hint="default"/>
          <w:highlight w:val="none"/>
          <w:lang w:val="en-US" w:eastAsia="zh-CN"/>
        </w:rPr>
      </w:pPr>
      <w:r>
        <w:rPr>
          <w:rFonts w:hint="default"/>
          <w:highlight w:val="none"/>
          <w:lang w:val="en-US" w:eastAsia="zh-CN"/>
        </w:rPr>
        <w:t>应识别与碳排放管理体系运行控制有关的能力要求，并提供培训或采取其他措施来满足这些要求。</w:t>
      </w:r>
      <w:r>
        <w:rPr>
          <w:rFonts w:hint="eastAsia"/>
          <w:highlight w:val="none"/>
          <w:lang w:val="en-US" w:eastAsia="zh-CN"/>
        </w:rPr>
        <w:t>相关人员可包括：</w:t>
      </w:r>
    </w:p>
    <w:p w14:paraId="60F60FD5">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w:t>
      </w:r>
      <w:r>
        <w:rPr>
          <w:rFonts w:hint="eastAsia" w:ascii="Times New Roman" w:hAnsi="Times New Roman" w:cs="Times New Roman"/>
          <w:highlight w:val="none"/>
          <w:lang w:val="en-US" w:eastAsia="zh-CN"/>
        </w:rPr>
        <w:t>碳管理</w:t>
      </w:r>
      <w:r>
        <w:rPr>
          <w:rFonts w:hint="eastAsia" w:cs="Times New Roman"/>
          <w:highlight w:val="none"/>
          <w:lang w:val="en-US" w:eastAsia="zh-CN"/>
        </w:rPr>
        <w:t>制度编制人员</w:t>
      </w:r>
      <w:r>
        <w:rPr>
          <w:rFonts w:hint="eastAsia" w:ascii="Times New Roman" w:hAnsi="Times New Roman" w:cs="Times New Roman"/>
          <w:highlight w:val="none"/>
          <w:lang w:val="en-US" w:eastAsia="zh-CN"/>
        </w:rPr>
        <w:t>；</w:t>
      </w:r>
    </w:p>
    <w:p w14:paraId="076BEB0F">
      <w:p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b）</w:t>
      </w:r>
      <w:r>
        <w:rPr>
          <w:rFonts w:hint="eastAsia" w:ascii="Times New Roman" w:hAnsi="Times New Roman" w:cs="Times New Roman"/>
          <w:highlight w:val="none"/>
          <w:lang w:val="en-US" w:eastAsia="zh-CN"/>
        </w:rPr>
        <w:t>碳数据收集人员；</w:t>
      </w:r>
    </w:p>
    <w:p w14:paraId="04D0EB73">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c）</w:t>
      </w:r>
      <w:r>
        <w:rPr>
          <w:rFonts w:hint="eastAsia" w:ascii="Times New Roman" w:hAnsi="Times New Roman" w:cs="Times New Roman"/>
          <w:highlight w:val="none"/>
          <w:lang w:val="en-US" w:eastAsia="zh-CN"/>
        </w:rPr>
        <w:t>碳排放核算与报告人员；</w:t>
      </w:r>
    </w:p>
    <w:p w14:paraId="279901E3">
      <w:p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d）</w:t>
      </w:r>
      <w:r>
        <w:rPr>
          <w:rFonts w:hint="eastAsia" w:ascii="Times New Roman" w:hAnsi="Times New Roman" w:cs="Times New Roman"/>
          <w:highlight w:val="none"/>
          <w:lang w:val="en-US" w:eastAsia="zh-CN"/>
        </w:rPr>
        <w:t>碳资产管理人员；</w:t>
      </w:r>
    </w:p>
    <w:p w14:paraId="4733FAFA">
      <w:p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e）</w:t>
      </w:r>
      <w:r>
        <w:rPr>
          <w:rFonts w:hint="eastAsia" w:ascii="Times New Roman" w:hAnsi="Times New Roman" w:cs="Times New Roman"/>
          <w:highlight w:val="none"/>
          <w:lang w:val="en-US" w:eastAsia="zh-CN"/>
        </w:rPr>
        <w:t>采购人员；</w:t>
      </w:r>
    </w:p>
    <w:p w14:paraId="390592F0">
      <w:p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f）</w:t>
      </w:r>
      <w:r>
        <w:rPr>
          <w:rFonts w:hint="eastAsia" w:ascii="Times New Roman" w:hAnsi="Times New Roman" w:cs="Times New Roman"/>
          <w:highlight w:val="none"/>
          <w:lang w:val="en-US" w:eastAsia="zh-CN"/>
        </w:rPr>
        <w:t>生产工艺控制人员；</w:t>
      </w:r>
    </w:p>
    <w:p w14:paraId="0A76C62F">
      <w:pPr>
        <w:ind w:firstLine="420" w:firstLineChars="200"/>
        <w:rPr>
          <w:rFonts w:hint="default"/>
          <w:highlight w:val="none"/>
          <w:lang w:val="en-US" w:eastAsia="zh-CN"/>
        </w:rPr>
      </w:pPr>
      <w:r>
        <w:rPr>
          <w:rFonts w:hint="eastAsia" w:ascii="Times New Roman" w:hAnsi="Times New Roman" w:cs="Times New Roman"/>
          <w:highlight w:val="none"/>
          <w:lang w:val="en-US" w:eastAsia="zh-CN"/>
        </w:rPr>
        <w:t>g）内审人员。</w:t>
      </w:r>
    </w:p>
    <w:p w14:paraId="36EC5BE1">
      <w:pPr>
        <w:pStyle w:val="169"/>
        <w:bidi w:val="0"/>
        <w:ind w:left="0" w:leftChars="0" w:firstLine="0" w:firstLineChars="0"/>
        <w:rPr>
          <w:rFonts w:hint="default"/>
          <w:highlight w:val="none"/>
          <w:lang w:val="en-US" w:eastAsia="zh-CN"/>
        </w:rPr>
      </w:pPr>
      <w:r>
        <w:rPr>
          <w:rFonts w:hint="default"/>
          <w:highlight w:val="none"/>
          <w:lang w:val="en-US" w:eastAsia="zh-CN"/>
        </w:rPr>
        <w:t>组织应确保岗位人员持续满足岗位能力要求。确定并实施与碳排放管理体系相关的培训，如新员工入职培训、转岗员工的转</w:t>
      </w:r>
      <w:r>
        <w:rPr>
          <w:rFonts w:hint="default"/>
          <w:color w:val="auto"/>
          <w:highlight w:val="none"/>
          <w:lang w:val="en-US" w:eastAsia="zh-CN"/>
        </w:rPr>
        <w:t>岗培训和在岗员工的继续培训等。组织应对所采取措施的有效性进行评价，确保这些人员能够胜任工作。</w:t>
      </w:r>
    </w:p>
    <w:p w14:paraId="14251E12">
      <w:pPr>
        <w:pStyle w:val="43"/>
        <w:spacing w:before="156" w:after="156"/>
        <w:outlineLvl w:val="9"/>
        <w:rPr>
          <w:rFonts w:hint="default" w:ascii="宋体" w:eastAsia="宋体"/>
          <w:bCs/>
          <w:szCs w:val="22"/>
          <w:highlight w:val="none"/>
          <w:lang w:val="en-US" w:eastAsia="zh-CN"/>
        </w:rPr>
      </w:pPr>
      <w:bookmarkStart w:id="99" w:name="_Toc18561"/>
      <w:r>
        <w:rPr>
          <w:rFonts w:hint="eastAsia" w:ascii="宋体" w:eastAsia="宋体"/>
          <w:bCs/>
          <w:szCs w:val="22"/>
          <w:highlight w:val="none"/>
          <w:lang w:val="en-US" w:eastAsia="zh-CN"/>
        </w:rPr>
        <w:t>意识</w:t>
      </w:r>
      <w:bookmarkEnd w:id="99"/>
    </w:p>
    <w:p w14:paraId="720D4BD7">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应符合T/CCAA 39-2022中7.3的要求。</w:t>
      </w:r>
    </w:p>
    <w:p w14:paraId="52929093">
      <w:pPr>
        <w:pStyle w:val="169"/>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组织</w:t>
      </w:r>
      <w:r>
        <w:rPr>
          <w:rFonts w:hint="default" w:ascii="Times New Roman" w:hAnsi="Times New Roman" w:cs="Times New Roman"/>
          <w:highlight w:val="none"/>
          <w:lang w:val="en-US" w:eastAsia="zh-CN"/>
        </w:rPr>
        <w:t>应确保与碳管理相关人员具备岗位能力</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识别其培训需求</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对碳管理相关人员提供相应培训</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宜包括以下内容</w:t>
      </w:r>
      <w:r>
        <w:rPr>
          <w:rFonts w:hint="eastAsia" w:ascii="Times New Roman" w:cs="Times New Roman"/>
          <w:highlight w:val="none"/>
          <w:lang w:val="en-US" w:eastAsia="zh-CN"/>
        </w:rPr>
        <w:t>：</w:t>
      </w:r>
    </w:p>
    <w:p w14:paraId="5B0DE2C9">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a）</w:t>
      </w:r>
      <w:r>
        <w:rPr>
          <w:rFonts w:hint="default" w:ascii="Times New Roman" w:hAnsi="Times New Roman" w:cs="Times New Roman"/>
          <w:highlight w:val="none"/>
          <w:lang w:val="en-US" w:eastAsia="zh-CN"/>
        </w:rPr>
        <w:t>碳排放法律法规、政策、标准和其他要求，如碳排放权交易管理暂行条例</w:t>
      </w:r>
      <w:r>
        <w:rPr>
          <w:rFonts w:hint="eastAsia" w:ascii="Times New Roman" w:hAnsi="Times New Roman" w:cs="Times New Roman"/>
          <w:highlight w:val="none"/>
          <w:lang w:val="en-US" w:eastAsia="zh-CN"/>
        </w:rPr>
        <w:t>等；</w:t>
      </w:r>
    </w:p>
    <w:p w14:paraId="0B5D25A8">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b）</w:t>
      </w:r>
      <w:r>
        <w:rPr>
          <w:rFonts w:hint="default" w:ascii="Times New Roman" w:hAnsi="Times New Roman" w:cs="Times New Roman"/>
          <w:highlight w:val="none"/>
          <w:lang w:val="en-US" w:eastAsia="zh-CN"/>
        </w:rPr>
        <w:t>碳管理体系标准及相关体系文件</w:t>
      </w:r>
      <w:r>
        <w:rPr>
          <w:rFonts w:hint="eastAsia" w:ascii="Times New Roman" w:hAnsi="Times New Roman" w:cs="Times New Roman"/>
          <w:highlight w:val="none"/>
          <w:lang w:val="en-US" w:eastAsia="zh-CN"/>
        </w:rPr>
        <w:t>；</w:t>
      </w:r>
    </w:p>
    <w:p w14:paraId="22670D9A">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c）</w:t>
      </w:r>
      <w:r>
        <w:rPr>
          <w:rFonts w:hint="default" w:ascii="Times New Roman" w:hAnsi="Times New Roman" w:cs="Times New Roman"/>
          <w:highlight w:val="none"/>
          <w:lang w:val="en-US" w:eastAsia="zh-CN"/>
        </w:rPr>
        <w:t>碳排放、碳足迹、碳中和相关核算标准，如GB/T 32150、GB/T 32151.</w:t>
      </w:r>
      <w:r>
        <w:rPr>
          <w:rFonts w:hint="eastAsia" w:ascii="Times New Roman" w:hAnsi="Times New Roman" w:cs="Times New Roman"/>
          <w:highlight w:val="none"/>
          <w:lang w:val="en-US" w:eastAsia="zh-CN"/>
        </w:rPr>
        <w:t>5</w:t>
      </w:r>
      <w:r>
        <w:rPr>
          <w:rFonts w:hint="default" w:ascii="Times New Roman" w:hAnsi="Times New Roman" w:cs="Times New Roman"/>
          <w:highlight w:val="none"/>
          <w:lang w:val="en-US" w:eastAsia="zh-CN"/>
        </w:rPr>
        <w:t xml:space="preserve">、GB/T </w:t>
      </w:r>
      <w:r>
        <w:rPr>
          <w:rFonts w:hint="eastAsia" w:ascii="Times New Roman" w:hAnsi="Times New Roman" w:cs="Times New Roman"/>
          <w:highlight w:val="none"/>
          <w:lang w:val="en-US" w:eastAsia="zh-CN"/>
        </w:rPr>
        <w:t>24067</w:t>
      </w:r>
      <w:r>
        <w:rPr>
          <w:rFonts w:hint="default" w:ascii="Times New Roman" w:hAnsi="Times New Roman" w:cs="Times New Roman"/>
          <w:highlight w:val="none"/>
          <w:lang w:val="en-US" w:eastAsia="zh-CN"/>
        </w:rPr>
        <w:t>等</w:t>
      </w:r>
      <w:r>
        <w:rPr>
          <w:rFonts w:hint="eastAsia" w:ascii="Times New Roman" w:hAnsi="Times New Roman" w:cs="Times New Roman"/>
          <w:highlight w:val="none"/>
          <w:lang w:val="en-US" w:eastAsia="zh-CN"/>
        </w:rPr>
        <w:t>；</w:t>
      </w:r>
    </w:p>
    <w:p w14:paraId="0DC887D2">
      <w:pPr>
        <w:ind w:firstLine="420" w:firstLineChars="20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d）</w:t>
      </w:r>
      <w:r>
        <w:rPr>
          <w:rFonts w:hint="default" w:ascii="Times New Roman" w:hAnsi="Times New Roman" w:cs="Times New Roman"/>
          <w:highlight w:val="none"/>
          <w:lang w:val="en-US" w:eastAsia="zh-CN"/>
        </w:rPr>
        <w:t>碳评审的内容</w:t>
      </w:r>
      <w:r>
        <w:rPr>
          <w:rFonts w:hint="eastAsia" w:ascii="Times New Roman" w:hAnsi="Times New Roman" w:cs="Times New Roman"/>
          <w:highlight w:val="none"/>
          <w:lang w:val="en-US" w:eastAsia="zh-CN"/>
        </w:rPr>
        <w:t>；</w:t>
      </w:r>
    </w:p>
    <w:p w14:paraId="01537E0F">
      <w:pPr>
        <w:ind w:firstLine="420" w:firstLineChars="20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e）</w:t>
      </w:r>
      <w:r>
        <w:rPr>
          <w:rFonts w:hint="default" w:ascii="Times New Roman" w:hAnsi="Times New Roman" w:cs="Times New Roman"/>
          <w:highlight w:val="none"/>
          <w:lang w:val="en-US" w:eastAsia="zh-CN"/>
        </w:rPr>
        <w:t>国内外相关碳排放资讯、碳减排技术等。</w:t>
      </w:r>
    </w:p>
    <w:p w14:paraId="3EBD94F3">
      <w:pPr>
        <w:pStyle w:val="43"/>
        <w:spacing w:before="156" w:after="156"/>
        <w:outlineLvl w:val="9"/>
        <w:rPr>
          <w:rFonts w:hint="default" w:ascii="宋体" w:eastAsia="宋体"/>
          <w:bCs/>
          <w:szCs w:val="22"/>
          <w:highlight w:val="none"/>
          <w:lang w:val="en-US" w:eastAsia="zh-CN"/>
        </w:rPr>
      </w:pPr>
      <w:bookmarkStart w:id="100" w:name="_Toc4458"/>
      <w:r>
        <w:rPr>
          <w:rFonts w:hint="eastAsia" w:ascii="宋体" w:eastAsia="宋体"/>
          <w:bCs/>
          <w:szCs w:val="22"/>
          <w:highlight w:val="none"/>
          <w:lang w:val="en-US" w:eastAsia="zh-CN"/>
        </w:rPr>
        <w:t>信息交流</w:t>
      </w:r>
      <w:bookmarkEnd w:id="100"/>
    </w:p>
    <w:p w14:paraId="52755D74">
      <w:pPr>
        <w:pStyle w:val="169"/>
        <w:bidi w:val="0"/>
        <w:ind w:left="0" w:leftChars="0" w:firstLine="0" w:firstLineChars="0"/>
        <w:rPr>
          <w:rFonts w:hint="eastAsia"/>
          <w:highlight w:val="none"/>
          <w:lang w:val="en-US" w:eastAsia="zh-CN"/>
        </w:rPr>
      </w:pPr>
      <w:r>
        <w:rPr>
          <w:rFonts w:hint="eastAsia"/>
          <w:highlight w:val="none"/>
          <w:lang w:val="en-US" w:eastAsia="zh-CN"/>
        </w:rPr>
        <w:t>应根据其自身和相关方的需求建立、实施并保持碳管理体系的相关信息的内、外部交流，并明确交流方式、内容、对象和时机。</w:t>
      </w:r>
    </w:p>
    <w:p w14:paraId="0CD585F8">
      <w:pPr>
        <w:pStyle w:val="169"/>
        <w:bidi w:val="0"/>
        <w:ind w:left="0" w:leftChars="0" w:firstLine="0" w:firstLineChars="0"/>
        <w:rPr>
          <w:rFonts w:hint="eastAsia"/>
          <w:highlight w:val="none"/>
          <w:lang w:val="en-US" w:eastAsia="zh-CN"/>
        </w:rPr>
      </w:pPr>
      <w:r>
        <w:rPr>
          <w:rFonts w:hint="eastAsia"/>
          <w:highlight w:val="none"/>
          <w:lang w:val="en-US" w:eastAsia="zh-CN"/>
        </w:rPr>
        <w:t>内部信息交流</w:t>
      </w:r>
    </w:p>
    <w:p w14:paraId="005BA43D">
      <w:pPr>
        <w:pStyle w:val="169"/>
        <w:numPr>
          <w:ilvl w:val="3"/>
          <w:numId w:val="2"/>
        </w:numPr>
        <w:bidi w:val="0"/>
        <w:ind w:left="0" w:leftChars="0" w:firstLine="0" w:firstLineChars="0"/>
        <w:rPr>
          <w:rFonts w:hint="default" w:ascii="Times New Roman" w:hAnsi="Times New Roman" w:eastAsia="宋体" w:cs="Times New Roman"/>
          <w:sz w:val="21"/>
          <w:highlight w:val="none"/>
          <w:lang w:val="en-US" w:eastAsia="zh-CN" w:bidi="ar-SA"/>
        </w:rPr>
      </w:pPr>
      <w:r>
        <w:rPr>
          <w:rFonts w:hint="eastAsia" w:ascii="Times New Roman" w:hAnsi="Times New Roman" w:cs="Times New Roman"/>
          <w:highlight w:val="none"/>
          <w:lang w:val="en-US" w:eastAsia="zh-CN"/>
        </w:rPr>
        <w:t>需在</w:t>
      </w:r>
      <w:r>
        <w:rPr>
          <w:rFonts w:hint="eastAsia" w:ascii="Times New Roman" w:cs="Times New Roman"/>
          <w:highlight w:val="none"/>
          <w:lang w:val="en-US" w:eastAsia="zh-CN"/>
        </w:rPr>
        <w:t>组织</w:t>
      </w:r>
      <w:r>
        <w:rPr>
          <w:rFonts w:hint="eastAsia" w:ascii="Times New Roman" w:hAnsi="Times New Roman" w:cs="Times New Roman"/>
          <w:highlight w:val="none"/>
          <w:lang w:val="en-US" w:eastAsia="zh-CN"/>
        </w:rPr>
        <w:t>内部各个层次和职能间建立与自身规模相适应的内部沟通机制。</w:t>
      </w:r>
      <w:r>
        <w:rPr>
          <w:rFonts w:hint="eastAsia" w:ascii="Times New Roman" w:hAnsi="Times New Roman" w:eastAsia="宋体" w:cs="Times New Roman"/>
          <w:sz w:val="21"/>
          <w:highlight w:val="none"/>
          <w:lang w:val="en-US" w:eastAsia="zh-CN" w:bidi="ar-SA"/>
        </w:rPr>
        <w:t>内部沟通宜包括：</w:t>
      </w:r>
    </w:p>
    <w:p w14:paraId="3DE5A199">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a</w:t>
      </w:r>
      <w:r>
        <w:rPr>
          <w:rFonts w:hint="eastAsia" w:ascii="Times New Roman" w:cs="Times New Roman"/>
          <w:sz w:val="21"/>
          <w:highlight w:val="none"/>
          <w:lang w:val="en-US" w:eastAsia="zh-CN" w:bidi="ar-SA"/>
        </w:rPr>
        <w:t>）</w:t>
      </w:r>
      <w:r>
        <w:rPr>
          <w:rFonts w:hint="eastAsia" w:ascii="Times New Roman" w:hAnsi="Times New Roman" w:eastAsia="宋体" w:cs="Times New Roman"/>
          <w:sz w:val="21"/>
          <w:szCs w:val="21"/>
          <w:highlight w:val="none"/>
          <w:lang w:val="en-US" w:eastAsia="zh-CN"/>
        </w:rPr>
        <w:t>适用的法律法规及其他文件</w:t>
      </w:r>
      <w:r>
        <w:rPr>
          <w:rFonts w:hint="default" w:ascii="Times New Roman" w:hAnsi="Times New Roman" w:eastAsia="宋体" w:cs="Times New Roman"/>
          <w:sz w:val="21"/>
          <w:szCs w:val="21"/>
          <w:highlight w:val="none"/>
          <w:lang w:val="en-US" w:eastAsia="zh-CN"/>
        </w:rPr>
        <w:t>；</w:t>
      </w:r>
    </w:p>
    <w:p w14:paraId="1D110DCC">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b</w:t>
      </w:r>
      <w:r>
        <w:rPr>
          <w:rFonts w:hint="eastAsia" w:ascii="Times New Roman" w:cs="Times New Roman"/>
          <w:sz w:val="21"/>
          <w:highlight w:val="none"/>
          <w:lang w:val="en-US" w:eastAsia="zh-CN" w:bidi="ar-SA"/>
        </w:rPr>
        <w:t>）</w:t>
      </w:r>
      <w:r>
        <w:rPr>
          <w:rFonts w:hint="eastAsia" w:ascii="Times New Roman" w:hAnsi="Times New Roman" w:eastAsia="宋体" w:cs="Times New Roman"/>
          <w:sz w:val="21"/>
          <w:szCs w:val="21"/>
          <w:highlight w:val="none"/>
          <w:lang w:val="en-US" w:eastAsia="zh-CN"/>
        </w:rPr>
        <w:t>碳管理</w:t>
      </w:r>
      <w:r>
        <w:rPr>
          <w:rFonts w:hint="eastAsia" w:ascii="Times New Roman" w:cs="Times New Roman"/>
          <w:sz w:val="21"/>
          <w:szCs w:val="21"/>
          <w:highlight w:val="none"/>
          <w:lang w:val="en-US" w:eastAsia="zh-CN"/>
        </w:rPr>
        <w:t>方针、</w:t>
      </w:r>
      <w:r>
        <w:rPr>
          <w:rFonts w:hint="eastAsia" w:ascii="Times New Roman" w:hAnsi="Times New Roman" w:eastAsia="宋体" w:cs="Times New Roman"/>
          <w:sz w:val="21"/>
          <w:szCs w:val="21"/>
          <w:highlight w:val="none"/>
          <w:lang w:val="en-US" w:eastAsia="zh-CN"/>
        </w:rPr>
        <w:t>目标；</w:t>
      </w:r>
    </w:p>
    <w:p w14:paraId="0DE2422E">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cs="Times New Roman"/>
          <w:sz w:val="21"/>
          <w:szCs w:val="21"/>
          <w:highlight w:val="none"/>
          <w:lang w:val="en-US" w:eastAsia="zh-CN"/>
        </w:rPr>
        <w:t>c</w:t>
      </w:r>
      <w:r>
        <w:rPr>
          <w:rFonts w:hint="eastAsia" w:ascii="Times New Roman" w:cs="Times New Roman"/>
          <w:sz w:val="21"/>
          <w:highlight w:val="none"/>
          <w:lang w:val="en-US" w:eastAsia="zh-CN" w:bidi="ar-SA"/>
        </w:rPr>
        <w:t>）</w:t>
      </w:r>
      <w:r>
        <w:rPr>
          <w:rFonts w:hint="eastAsia" w:ascii="Times New Roman" w:hAnsi="Times New Roman" w:eastAsia="宋体" w:cs="Times New Roman"/>
          <w:sz w:val="21"/>
          <w:szCs w:val="21"/>
          <w:highlight w:val="none"/>
          <w:lang w:val="en-US" w:eastAsia="zh-CN"/>
        </w:rPr>
        <w:t>碳排放参数定期监视、测量和分析情况；</w:t>
      </w:r>
    </w:p>
    <w:p w14:paraId="7107BE95">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cs="Times New Roman"/>
          <w:sz w:val="21"/>
          <w:highlight w:val="none"/>
          <w:lang w:val="en-US" w:eastAsia="zh-CN" w:bidi="ar-SA"/>
        </w:rPr>
        <w:t>d）</w:t>
      </w:r>
      <w:r>
        <w:rPr>
          <w:rFonts w:hint="eastAsia" w:ascii="Times New Roman" w:hAnsi="Times New Roman" w:eastAsia="宋体" w:cs="Times New Roman"/>
          <w:sz w:val="21"/>
          <w:szCs w:val="21"/>
          <w:highlight w:val="none"/>
          <w:lang w:val="en-US" w:eastAsia="zh-CN"/>
        </w:rPr>
        <w:t>碳管理实施方案及实施效果；</w:t>
      </w:r>
    </w:p>
    <w:p w14:paraId="7C6C7AA4">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cs="Times New Roman"/>
          <w:sz w:val="21"/>
          <w:szCs w:val="21"/>
          <w:highlight w:val="none"/>
          <w:lang w:val="en-US" w:eastAsia="zh-CN"/>
        </w:rPr>
        <w:t>e</w:t>
      </w:r>
      <w:r>
        <w:rPr>
          <w:rFonts w:hint="eastAsia" w:ascii="Times New Roman" w:cs="Times New Roman"/>
          <w:sz w:val="21"/>
          <w:highlight w:val="none"/>
          <w:lang w:val="en-US" w:eastAsia="zh-CN" w:bidi="ar-SA"/>
        </w:rPr>
        <w:t>）</w:t>
      </w:r>
      <w:r>
        <w:rPr>
          <w:rFonts w:hint="eastAsia" w:ascii="Times New Roman" w:cs="Times New Roman"/>
          <w:sz w:val="21"/>
          <w:szCs w:val="21"/>
          <w:highlight w:val="none"/>
          <w:lang w:val="en-US" w:eastAsia="zh-CN"/>
        </w:rPr>
        <w:t>工艺流程及生产装备更新</w:t>
      </w:r>
      <w:r>
        <w:rPr>
          <w:rFonts w:hint="eastAsia" w:ascii="Times New Roman" w:hAnsi="Times New Roman" w:eastAsia="宋体" w:cs="Times New Roman"/>
          <w:sz w:val="21"/>
          <w:szCs w:val="21"/>
          <w:highlight w:val="none"/>
          <w:lang w:val="en-US" w:eastAsia="zh-CN"/>
        </w:rPr>
        <w:t>；</w:t>
      </w:r>
    </w:p>
    <w:p w14:paraId="0E2EA914">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eastAsia" w:ascii="Times New Roman" w:cs="Times New Roman"/>
          <w:sz w:val="21"/>
          <w:szCs w:val="21"/>
          <w:highlight w:val="none"/>
          <w:lang w:val="en-US" w:eastAsia="zh-CN"/>
        </w:rPr>
        <w:t>f）资源能源利用情况；</w:t>
      </w:r>
    </w:p>
    <w:p w14:paraId="38F7DA5B">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g</w:t>
      </w:r>
      <w:r>
        <w:rPr>
          <w:rFonts w:hint="eastAsia" w:ascii="Times New Roman" w:cs="Times New Roman"/>
          <w:sz w:val="21"/>
          <w:highlight w:val="none"/>
          <w:lang w:val="en-US" w:eastAsia="zh-CN" w:bidi="ar-SA"/>
        </w:rPr>
        <w:t>）</w:t>
      </w:r>
      <w:r>
        <w:rPr>
          <w:rFonts w:hint="eastAsia" w:ascii="Times New Roman" w:hAnsi="Times New Roman" w:eastAsia="宋体" w:cs="Times New Roman"/>
          <w:sz w:val="21"/>
          <w:szCs w:val="21"/>
          <w:highlight w:val="none"/>
          <w:lang w:val="en-US" w:eastAsia="zh-CN"/>
        </w:rPr>
        <w:t>碳管理体系改进的建议和意见等。</w:t>
      </w:r>
    </w:p>
    <w:p w14:paraId="400347DF">
      <w:pPr>
        <w:pStyle w:val="169"/>
        <w:numPr>
          <w:ilvl w:val="3"/>
          <w:numId w:val="2"/>
        </w:numPr>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内部信息交流可采用会议纪要、会告栏、简报、意见箱、网站、电子邮件、会议等方式。</w:t>
      </w:r>
    </w:p>
    <w:p w14:paraId="7833D0AA">
      <w:pPr>
        <w:pStyle w:val="169"/>
        <w:bidi w:val="0"/>
        <w:ind w:left="0" w:leftChars="0" w:firstLine="0" w:firstLineChars="0"/>
        <w:rPr>
          <w:rFonts w:hint="eastAsia"/>
          <w:highlight w:val="none"/>
          <w:lang w:val="en-US" w:eastAsia="zh-CN"/>
        </w:rPr>
      </w:pPr>
      <w:bookmarkStart w:id="101" w:name="OLE_LINK3"/>
      <w:r>
        <w:rPr>
          <w:rFonts w:hint="eastAsia"/>
          <w:highlight w:val="none"/>
          <w:lang w:val="en-US" w:eastAsia="zh-CN"/>
        </w:rPr>
        <w:t>外部信息交流</w:t>
      </w:r>
    </w:p>
    <w:bookmarkEnd w:id="101"/>
    <w:p w14:paraId="6FD0875D">
      <w:pPr>
        <w:pStyle w:val="169"/>
        <w:numPr>
          <w:ilvl w:val="3"/>
          <w:numId w:val="2"/>
        </w:numPr>
        <w:bidi w:val="0"/>
        <w:ind w:left="0" w:leftChars="0" w:firstLine="0" w:firstLineChars="0"/>
        <w:rPr>
          <w:rFonts w:hint="default" w:ascii="Times New Roman" w:hAnsi="Times New Roman" w:eastAsia="宋体" w:cs="Times New Roman"/>
          <w:sz w:val="21"/>
          <w:highlight w:val="none"/>
          <w:lang w:val="en-US" w:eastAsia="zh-CN" w:bidi="ar-SA"/>
        </w:rPr>
      </w:pPr>
      <w:bookmarkStart w:id="102" w:name="OLE_LINK1"/>
      <w:r>
        <w:rPr>
          <w:rFonts w:hint="eastAsia" w:ascii="Times New Roman" w:cs="Times New Roman"/>
          <w:highlight w:val="none"/>
          <w:lang w:val="en-US" w:eastAsia="zh-CN"/>
        </w:rPr>
        <w:t>组织宜适时开展外部信息交流</w:t>
      </w:r>
      <w:r>
        <w:rPr>
          <w:rFonts w:hint="eastAsia" w:ascii="Times New Roman" w:hAnsi="Times New Roman" w:cs="Times New Roman"/>
          <w:highlight w:val="none"/>
          <w:lang w:val="en-US" w:eastAsia="zh-CN"/>
        </w:rPr>
        <w:t>。</w:t>
      </w:r>
      <w:r>
        <w:rPr>
          <w:rFonts w:hint="eastAsia" w:ascii="Times New Roman" w:cs="Times New Roman"/>
          <w:highlight w:val="none"/>
          <w:lang w:val="en-US" w:eastAsia="zh-CN"/>
        </w:rPr>
        <w:t>外</w:t>
      </w:r>
      <w:r>
        <w:rPr>
          <w:rFonts w:hint="eastAsia" w:ascii="Times New Roman" w:hAnsi="Times New Roman" w:eastAsia="宋体" w:cs="Times New Roman"/>
          <w:sz w:val="21"/>
          <w:highlight w:val="none"/>
          <w:lang w:val="en-US" w:eastAsia="zh-CN" w:bidi="ar-SA"/>
        </w:rPr>
        <w:t>部沟通宜包括：</w:t>
      </w:r>
    </w:p>
    <w:p w14:paraId="273DD6D1">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a）政府、社团（如行业协会）等，了解新的政策、标准要求；</w:t>
      </w:r>
    </w:p>
    <w:p w14:paraId="759F2624">
      <w:pPr>
        <w:pStyle w:val="23"/>
        <w:numPr>
          <w:ilvl w:val="0"/>
          <w:numId w:val="0"/>
        </w:numPr>
        <w:ind w:firstLine="420" w:firstLineChars="200"/>
        <w:rPr>
          <w:rFonts w:hint="eastAsia" w:ascii="Times New Roman"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b）供应链上下游相关方，了解采购</w:t>
      </w:r>
      <w:r>
        <w:rPr>
          <w:rFonts w:hint="eastAsia" w:ascii="Times New Roman" w:cs="Times New Roman"/>
          <w:sz w:val="21"/>
          <w:szCs w:val="21"/>
          <w:highlight w:val="none"/>
          <w:lang w:val="en-US" w:eastAsia="zh-CN"/>
        </w:rPr>
        <w:t>过程</w:t>
      </w:r>
      <w:r>
        <w:rPr>
          <w:rFonts w:hint="eastAsia" w:ascii="Times New Roman" w:hAnsi="Times New Roman" w:eastAsia="宋体" w:cs="Times New Roman"/>
          <w:sz w:val="21"/>
          <w:szCs w:val="21"/>
          <w:highlight w:val="none"/>
          <w:lang w:val="en-US" w:eastAsia="zh-CN"/>
        </w:rPr>
        <w:t>低碳要求</w:t>
      </w:r>
      <w:r>
        <w:rPr>
          <w:rFonts w:hint="eastAsia" w:ascii="Times New Roman" w:cs="Times New Roman"/>
          <w:sz w:val="21"/>
          <w:szCs w:val="21"/>
          <w:highlight w:val="none"/>
          <w:lang w:val="en-US" w:eastAsia="zh-CN"/>
        </w:rPr>
        <w:t>；</w:t>
      </w:r>
    </w:p>
    <w:p w14:paraId="13F5F9FB">
      <w:pPr>
        <w:pStyle w:val="23"/>
        <w:numPr>
          <w:ilvl w:val="0"/>
          <w:numId w:val="0"/>
        </w:numPr>
        <w:ind w:firstLine="420" w:firstLineChars="200"/>
        <w:rPr>
          <w:rFonts w:hint="default" w:ascii="Times New Roman" w:cs="Times New Roman"/>
          <w:sz w:val="21"/>
          <w:szCs w:val="21"/>
          <w:highlight w:val="none"/>
          <w:lang w:val="en-US" w:eastAsia="zh-CN"/>
        </w:rPr>
      </w:pPr>
      <w:r>
        <w:rPr>
          <w:rFonts w:hint="eastAsia" w:ascii="Times New Roman" w:cs="Times New Roman"/>
          <w:sz w:val="21"/>
          <w:szCs w:val="21"/>
          <w:highlight w:val="none"/>
          <w:lang w:val="en-US" w:eastAsia="zh-CN"/>
        </w:rPr>
        <w:t>c）钢铁企业间的交流，对标及经验分享。</w:t>
      </w:r>
    </w:p>
    <w:bookmarkEnd w:id="102"/>
    <w:p w14:paraId="1F111255">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外部交流包括论坛、网站、电子邮件、新闻发布会、通讯简报、年度报告等方式。</w:t>
      </w:r>
    </w:p>
    <w:p w14:paraId="319F3467">
      <w:pPr>
        <w:pStyle w:val="43"/>
        <w:spacing w:before="156" w:after="156"/>
        <w:outlineLvl w:val="9"/>
        <w:rPr>
          <w:rFonts w:hint="default" w:ascii="宋体" w:eastAsia="宋体"/>
          <w:bCs/>
          <w:szCs w:val="22"/>
          <w:highlight w:val="none"/>
          <w:lang w:val="en-US" w:eastAsia="zh-CN"/>
        </w:rPr>
      </w:pPr>
      <w:bookmarkStart w:id="103" w:name="_Toc18289"/>
      <w:r>
        <w:rPr>
          <w:rFonts w:hint="eastAsia" w:ascii="宋体" w:eastAsia="宋体"/>
          <w:bCs/>
          <w:szCs w:val="22"/>
          <w:highlight w:val="none"/>
          <w:lang w:val="en-US" w:eastAsia="zh-CN"/>
        </w:rPr>
        <w:t>文件化信息</w:t>
      </w:r>
      <w:bookmarkEnd w:id="103"/>
    </w:p>
    <w:p w14:paraId="316F7F5C">
      <w:pPr>
        <w:pStyle w:val="169"/>
        <w:bidi w:val="0"/>
        <w:ind w:left="0" w:leftChars="0" w:firstLine="0" w:firstLineChars="0"/>
        <w:rPr>
          <w:rFonts w:hint="eastAsia"/>
          <w:highlight w:val="none"/>
          <w:lang w:val="en-US" w:eastAsia="zh-CN"/>
        </w:rPr>
      </w:pPr>
      <w:r>
        <w:rPr>
          <w:rFonts w:hint="eastAsia"/>
          <w:highlight w:val="none"/>
          <w:lang w:val="en-US" w:eastAsia="zh-CN"/>
        </w:rPr>
        <w:t>总则</w:t>
      </w:r>
    </w:p>
    <w:p w14:paraId="2A5F9767">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应符合T/CCAA 39-2022中7.5.1</w:t>
      </w:r>
      <w:r>
        <w:rPr>
          <w:rFonts w:hint="eastAsia" w:ascii="Times New Roman" w:cs="Times New Roman"/>
          <w:highlight w:val="none"/>
          <w:lang w:val="en-US" w:eastAsia="zh-CN"/>
        </w:rPr>
        <w:t>的要求。</w:t>
      </w:r>
    </w:p>
    <w:p w14:paraId="0D42957F">
      <w:pPr>
        <w:pStyle w:val="169"/>
        <w:numPr>
          <w:ilvl w:val="3"/>
          <w:numId w:val="2"/>
        </w:numPr>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组织</w:t>
      </w:r>
      <w:r>
        <w:rPr>
          <w:rFonts w:hint="eastAsia" w:ascii="Times New Roman" w:cs="Times New Roman"/>
          <w:highlight w:val="none"/>
          <w:lang w:val="en-US" w:eastAsia="zh-CN"/>
        </w:rPr>
        <w:t>的</w:t>
      </w:r>
      <w:r>
        <w:rPr>
          <w:rFonts w:hint="default" w:ascii="Times New Roman" w:hAnsi="Times New Roman" w:cs="Times New Roman"/>
          <w:highlight w:val="none"/>
          <w:lang w:val="en-US" w:eastAsia="zh-CN"/>
        </w:rPr>
        <w:t>碳管理体系文件至少包括</w:t>
      </w:r>
      <w:r>
        <w:rPr>
          <w:rFonts w:hint="eastAsia" w:ascii="Times New Roman" w:cs="Times New Roman"/>
          <w:highlight w:val="none"/>
          <w:lang w:val="en-US" w:eastAsia="zh-CN"/>
        </w:rPr>
        <w:t>：</w:t>
      </w:r>
    </w:p>
    <w:p w14:paraId="57878A86">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a）碳管理手册；</w:t>
      </w:r>
    </w:p>
    <w:p w14:paraId="1D222AC8">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b）本文件要求的程序文件及记录；</w:t>
      </w:r>
    </w:p>
    <w:p w14:paraId="03D13A3D">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c）为实现碳排放管理目标和指标所制定的碳排放管理实施方案；</w:t>
      </w:r>
    </w:p>
    <w:p w14:paraId="537DB9E6">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d）为确保碳排放管理过程的有效策划、运作和控制所需的岗位规程、作业文件；</w:t>
      </w:r>
    </w:p>
    <w:p w14:paraId="22EF1B0E">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e）外来文件，包括法律法规、规程、规范、标准等</w:t>
      </w:r>
      <w:r>
        <w:rPr>
          <w:rFonts w:hint="eastAsia" w:ascii="Times New Roman" w:cs="Times New Roman"/>
          <w:sz w:val="21"/>
          <w:szCs w:val="21"/>
          <w:highlight w:val="none"/>
          <w:lang w:val="en-US" w:eastAsia="zh-CN"/>
        </w:rPr>
        <w:t>；</w:t>
      </w:r>
    </w:p>
    <w:p w14:paraId="17EA53F1">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eastAsia" w:ascii="Times New Roman" w:cs="Times New Roman"/>
          <w:sz w:val="21"/>
          <w:szCs w:val="21"/>
          <w:highlight w:val="none"/>
          <w:lang w:val="en-US" w:eastAsia="zh-CN"/>
        </w:rPr>
        <w:t>f）</w:t>
      </w:r>
      <w:r>
        <w:rPr>
          <w:rFonts w:hint="default" w:ascii="Times New Roman" w:hAnsi="Times New Roman" w:eastAsia="宋体" w:cs="Times New Roman"/>
          <w:sz w:val="21"/>
          <w:szCs w:val="21"/>
          <w:highlight w:val="none"/>
          <w:lang w:val="en-US" w:eastAsia="zh-CN"/>
        </w:rPr>
        <w:t>根据自身需要确定的其他文件。</w:t>
      </w:r>
    </w:p>
    <w:p w14:paraId="41BFA956">
      <w:pPr>
        <w:pStyle w:val="169"/>
        <w:bidi w:val="0"/>
        <w:ind w:left="0" w:leftChars="0" w:firstLine="0" w:firstLineChars="0"/>
        <w:rPr>
          <w:rFonts w:hint="default"/>
          <w:highlight w:val="none"/>
          <w:lang w:val="en-US" w:eastAsia="zh-CN"/>
        </w:rPr>
      </w:pPr>
      <w:r>
        <w:rPr>
          <w:rFonts w:hint="eastAsia"/>
          <w:highlight w:val="none"/>
          <w:lang w:val="en-US" w:eastAsia="zh-CN"/>
        </w:rPr>
        <w:t>建立和更新</w:t>
      </w:r>
    </w:p>
    <w:p w14:paraId="6A555073">
      <w:pPr>
        <w:pStyle w:val="23"/>
        <w:numPr>
          <w:ilvl w:val="0"/>
          <w:numId w:val="0"/>
        </w:numPr>
        <w:ind w:firstLine="420" w:firstLineChars="200"/>
        <w:rPr>
          <w:rFonts w:hint="default" w:ascii="Times New Roman" w:cs="Times New Roman"/>
          <w:sz w:val="21"/>
          <w:szCs w:val="21"/>
          <w:highlight w:val="none"/>
          <w:lang w:val="en-US" w:eastAsia="zh-CN"/>
        </w:rPr>
      </w:pPr>
      <w:r>
        <w:rPr>
          <w:rFonts w:hint="eastAsia" w:ascii="Times New Roman" w:cs="Times New Roman"/>
          <w:sz w:val="21"/>
          <w:szCs w:val="21"/>
          <w:highlight w:val="none"/>
          <w:lang w:val="en-US" w:eastAsia="zh-CN"/>
        </w:rPr>
        <w:t>应符合T/CCAA 39-2022中7.5.2的要求。</w:t>
      </w:r>
    </w:p>
    <w:p w14:paraId="626283FB">
      <w:pPr>
        <w:pStyle w:val="169"/>
        <w:bidi w:val="0"/>
        <w:ind w:left="0" w:leftChars="0" w:firstLine="0" w:firstLineChars="0"/>
        <w:rPr>
          <w:rFonts w:hint="eastAsia"/>
          <w:highlight w:val="none"/>
          <w:lang w:val="en-US" w:eastAsia="zh-CN"/>
        </w:rPr>
      </w:pPr>
      <w:r>
        <w:rPr>
          <w:rFonts w:hint="eastAsia"/>
          <w:highlight w:val="none"/>
          <w:lang w:val="en-US" w:eastAsia="zh-CN"/>
        </w:rPr>
        <w:t>文件化信息的控制</w:t>
      </w:r>
    </w:p>
    <w:p w14:paraId="78BAADA0">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应建立、实施并保持一个或多个程序，对文件的编制、标识、审查、批准、发放、使用、更改、作废和评审等过程做出明确规定，包括：</w:t>
      </w:r>
    </w:p>
    <w:p w14:paraId="468E7223">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a）文件在发布之前应当得到批准，以确保文件</w:t>
      </w:r>
      <w:r>
        <w:rPr>
          <w:rFonts w:hint="eastAsia" w:ascii="Times New Roman" w:cs="Times New Roman"/>
          <w:sz w:val="21"/>
          <w:szCs w:val="21"/>
          <w:highlight w:val="none"/>
          <w:lang w:val="en-US" w:eastAsia="zh-CN"/>
        </w:rPr>
        <w:t>是</w:t>
      </w:r>
      <w:r>
        <w:rPr>
          <w:rFonts w:hint="default" w:ascii="Times New Roman" w:hAnsi="Times New Roman" w:eastAsia="宋体" w:cs="Times New Roman"/>
          <w:sz w:val="21"/>
          <w:szCs w:val="21"/>
          <w:highlight w:val="none"/>
          <w:lang w:val="en-US" w:eastAsia="zh-CN"/>
        </w:rPr>
        <w:t>充分的</w:t>
      </w:r>
      <w:r>
        <w:rPr>
          <w:rFonts w:hint="eastAsia" w:ascii="Times New Roman"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适宜的；</w:t>
      </w:r>
    </w:p>
    <w:p w14:paraId="22319EF5">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b）在实施过程中，如有必要应当对文件进行评审，以便随时发现需要修改或更新之处，修订的文件重新发布时应当再次批准；</w:t>
      </w:r>
    </w:p>
    <w:p w14:paraId="6FD47A69">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c）确保文件的更改和现行修订状态得到识别，一般需要有文件控制清单或受控文件一览表；</w:t>
      </w:r>
    </w:p>
    <w:p w14:paraId="67CEF1E8">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d）确保在使</w:t>
      </w:r>
      <w:r>
        <w:rPr>
          <w:rFonts w:hint="eastAsia" w:ascii="Times New Roman" w:cs="Times New Roman"/>
          <w:sz w:val="21"/>
          <w:szCs w:val="21"/>
          <w:highlight w:val="none"/>
          <w:lang w:val="en-US" w:eastAsia="zh-CN"/>
        </w:rPr>
        <w:t>用时</w:t>
      </w:r>
      <w:r>
        <w:rPr>
          <w:rFonts w:hint="default" w:ascii="Times New Roman" w:hAnsi="Times New Roman" w:eastAsia="宋体" w:cs="Times New Roman"/>
          <w:sz w:val="21"/>
          <w:szCs w:val="21"/>
          <w:highlight w:val="none"/>
          <w:lang w:val="en-US" w:eastAsia="zh-CN"/>
        </w:rPr>
        <w:t>可获得适用文件的有效版本；</w:t>
      </w:r>
    </w:p>
    <w:p w14:paraId="5B14E2CF">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e）确保文件字迹清晰、标识明确，易于识别和检索；</w:t>
      </w:r>
    </w:p>
    <w:p w14:paraId="532DEA93">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f）防止对过期文件的非预期使用。如需将其保留，应做出适当的标识。</w:t>
      </w:r>
    </w:p>
    <w:p w14:paraId="1788417E">
      <w:pPr>
        <w:pStyle w:val="46"/>
        <w:spacing w:before="312" w:after="312"/>
        <w:rPr>
          <w:rFonts w:hint="default"/>
          <w:highlight w:val="none"/>
          <w:lang w:val="en-US" w:eastAsia="zh-CN"/>
        </w:rPr>
      </w:pPr>
      <w:bookmarkStart w:id="104" w:name="_Toc18957"/>
      <w:bookmarkStart w:id="105" w:name="_Toc10118"/>
      <w:r>
        <w:rPr>
          <w:rFonts w:hint="default"/>
          <w:highlight w:val="none"/>
          <w:lang w:val="en-US" w:eastAsia="zh-CN"/>
        </w:rPr>
        <w:t>运行</w:t>
      </w:r>
      <w:bookmarkEnd w:id="104"/>
      <w:bookmarkEnd w:id="105"/>
    </w:p>
    <w:p w14:paraId="05CEA8C6">
      <w:pPr>
        <w:pStyle w:val="43"/>
        <w:spacing w:before="156" w:after="156"/>
        <w:outlineLvl w:val="9"/>
        <w:rPr>
          <w:rFonts w:hint="default" w:ascii="宋体" w:eastAsia="宋体"/>
          <w:bCs/>
          <w:szCs w:val="22"/>
          <w:highlight w:val="none"/>
          <w:lang w:val="en-US" w:eastAsia="zh-CN"/>
        </w:rPr>
      </w:pPr>
      <w:bookmarkStart w:id="106" w:name="_Toc9085"/>
      <w:r>
        <w:rPr>
          <w:rFonts w:hint="default" w:ascii="宋体" w:eastAsia="宋体"/>
          <w:bCs/>
          <w:szCs w:val="22"/>
          <w:highlight w:val="none"/>
          <w:lang w:val="en-US" w:eastAsia="zh-CN"/>
        </w:rPr>
        <w:t>总则</w:t>
      </w:r>
      <w:bookmarkEnd w:id="106"/>
    </w:p>
    <w:p w14:paraId="20D6106B">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组织应</w:t>
      </w:r>
      <w:r>
        <w:rPr>
          <w:rFonts w:hint="eastAsia" w:ascii="Times New Roman" w:cs="Times New Roman"/>
          <w:highlight w:val="none"/>
          <w:lang w:val="en-US" w:eastAsia="zh-CN"/>
        </w:rPr>
        <w:t>考虑生命周期理念和风险思维，</w:t>
      </w:r>
      <w:r>
        <w:rPr>
          <w:rFonts w:hint="default" w:ascii="Times New Roman" w:hAnsi="Times New Roman" w:cs="Times New Roman"/>
          <w:highlight w:val="none"/>
          <w:lang w:val="en-US" w:eastAsia="zh-CN"/>
        </w:rPr>
        <w:t>采用以下方式策划、实施、控制并保持满足碳管理体系要求以及实施6.1和6.2所识别的措施所需的过程，通过：</w:t>
      </w:r>
    </w:p>
    <w:p w14:paraId="41ECCF58">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a）建立包括产品的设计、原辅材料获得(采购)、生产/服务提供、设施、设备、系统、主要能源使用、交付、运输、使用和(可行时)使用后处置等过程有效运行(含维护)的准则；</w:t>
      </w:r>
    </w:p>
    <w:p w14:paraId="0A0153DC">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b）与在组织控制下工作的相关人员沟通的准则</w:t>
      </w:r>
      <w:r>
        <w:rPr>
          <w:rFonts w:hint="eastAsia" w:ascii="Times New Roman" w:hAnsi="Times New Roman" w:eastAsia="宋体" w:cs="Times New Roman"/>
          <w:sz w:val="21"/>
          <w:szCs w:val="21"/>
          <w:highlight w:val="none"/>
          <w:lang w:val="en-US" w:eastAsia="zh-CN"/>
        </w:rPr>
        <w:t>，管理者和操作者应熟知与其碳排放源、碳汇相关的运行条件和运行准则；</w:t>
      </w:r>
    </w:p>
    <w:p w14:paraId="1145CB36">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c）依据准则实施过程的控制，包括控制任何措施计划实施过程，如工艺技术改造项目</w:t>
      </w:r>
      <w:r>
        <w:rPr>
          <w:rFonts w:hint="eastAsia" w:ascii="Times New Roman" w:hAnsi="Times New Roman" w:eastAsia="宋体" w:cs="Times New Roman"/>
          <w:sz w:val="21"/>
          <w:szCs w:val="21"/>
          <w:highlight w:val="none"/>
          <w:lang w:val="en-US" w:eastAsia="zh-CN"/>
        </w:rPr>
        <w:t>；</w:t>
      </w:r>
    </w:p>
    <w:p w14:paraId="27E13E73">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d）鼓励组织从生命周期理念出发，按照GB/T 24067的相关要求，分析各生命周期排放重点环节，制定经济可行、技术可行的减排策略，以减少组织整体碳排放。</w:t>
      </w:r>
    </w:p>
    <w:p w14:paraId="49DF90F1">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e）保留必要程度的文件化信息，以确信过程已按策划得到实施。</w:t>
      </w:r>
    </w:p>
    <w:p w14:paraId="065670B7">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p>
    <w:p w14:paraId="242D7013">
      <w:pPr>
        <w:pStyle w:val="169"/>
        <w:bidi w:val="0"/>
        <w:ind w:left="0" w:leftChars="0" w:firstLine="0" w:firstLineChars="0"/>
        <w:rPr>
          <w:rFonts w:hint="default" w:ascii="Times New Roman" w:hAnsi="Times New Roman" w:cs="Times New Roman"/>
          <w:highlight w:val="none"/>
          <w:lang w:val="en-US" w:eastAsia="zh-CN"/>
        </w:rPr>
      </w:pPr>
      <w:r>
        <w:rPr>
          <w:rFonts w:hint="eastAsia" w:ascii="Times New Roman" w:cs="Times New Roman"/>
          <w:highlight w:val="none"/>
          <w:lang w:val="en-US" w:eastAsia="zh-CN"/>
        </w:rPr>
        <w:t>组织</w:t>
      </w:r>
      <w:r>
        <w:rPr>
          <w:rFonts w:hint="default" w:ascii="Times New Roman" w:hAnsi="Times New Roman" w:cs="Times New Roman"/>
          <w:highlight w:val="none"/>
          <w:lang w:val="en-US" w:eastAsia="zh-CN"/>
        </w:rPr>
        <w:t>应定期评审并确认运行过程中存在的潜在影响碳绩效的因素</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定期确认有关的控制措施和运行准则</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并加以更新。</w:t>
      </w:r>
    </w:p>
    <w:p w14:paraId="0EDD6A12">
      <w:pPr>
        <w:pStyle w:val="169"/>
        <w:bidi w:val="0"/>
        <w:ind w:left="0" w:leftChars="0" w:firstLine="0" w:firstLineChars="0"/>
        <w:rPr>
          <w:rFonts w:hint="default" w:ascii="Times New Roman" w:hAnsi="Times New Roman" w:cs="Times New Roman"/>
          <w:highlight w:val="none"/>
          <w:lang w:val="en-US" w:eastAsia="zh-CN"/>
        </w:rPr>
      </w:pPr>
      <w:r>
        <w:rPr>
          <w:rFonts w:hint="eastAsia" w:ascii="Times New Roman" w:cs="Times New Roman"/>
          <w:highlight w:val="none"/>
          <w:lang w:val="en-US" w:eastAsia="zh-CN"/>
        </w:rPr>
        <w:t>组织</w:t>
      </w:r>
      <w:r>
        <w:rPr>
          <w:rFonts w:hint="default" w:ascii="Times New Roman" w:hAnsi="Times New Roman" w:cs="Times New Roman"/>
          <w:highlight w:val="none"/>
          <w:lang w:val="en-US" w:eastAsia="zh-CN"/>
        </w:rPr>
        <w:t>应定期与外部供方(包括合同方)沟通其相关合规义务和碳绩效要求及影响因素</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并保留相关文件化信息。</w:t>
      </w:r>
    </w:p>
    <w:p w14:paraId="165E3013">
      <w:pPr>
        <w:pStyle w:val="43"/>
        <w:spacing w:before="156" w:after="156"/>
        <w:outlineLvl w:val="9"/>
        <w:rPr>
          <w:rFonts w:hint="default" w:ascii="宋体" w:eastAsia="宋体"/>
          <w:bCs/>
          <w:szCs w:val="22"/>
          <w:highlight w:val="none"/>
          <w:lang w:val="en-US" w:eastAsia="zh-CN"/>
        </w:rPr>
      </w:pPr>
      <w:bookmarkStart w:id="107" w:name="_Toc13032"/>
      <w:r>
        <w:rPr>
          <w:rFonts w:hint="eastAsia" w:ascii="宋体" w:eastAsia="宋体"/>
          <w:bCs/>
          <w:szCs w:val="22"/>
          <w:highlight w:val="none"/>
          <w:lang w:val="en-US" w:eastAsia="zh-CN"/>
        </w:rPr>
        <w:t>设计控制</w:t>
      </w:r>
      <w:bookmarkEnd w:id="107"/>
    </w:p>
    <w:p w14:paraId="530CEB99">
      <w:pPr>
        <w:pStyle w:val="169"/>
        <w:bidi w:val="0"/>
        <w:ind w:left="0" w:leftChars="0" w:firstLine="0" w:firstLineChars="0"/>
        <w:rPr>
          <w:rFonts w:hint="default" w:ascii="Times New Roman" w:cs="Times New Roman"/>
          <w:highlight w:val="none"/>
          <w:lang w:val="en-US" w:eastAsia="zh-CN"/>
        </w:rPr>
      </w:pPr>
      <w:r>
        <w:rPr>
          <w:rFonts w:hint="default" w:ascii="Times New Roman" w:cs="Times New Roman"/>
          <w:highlight w:val="none"/>
          <w:lang w:val="en-US" w:eastAsia="zh-CN"/>
        </w:rPr>
        <w:t>组织在对其设施、设备、系统、过程及产品和服务、上下游供应链管理进行设计时，如果该设计在计划的或预期的运行期内可能对碳绩效产生显著影响</w:t>
      </w:r>
      <w:r>
        <w:rPr>
          <w:rFonts w:hint="eastAsia" w:ascii="Times New Roman" w:cs="Times New Roman"/>
          <w:highlight w:val="none"/>
          <w:lang w:val="en-US" w:eastAsia="zh-CN"/>
        </w:rPr>
        <w:t>，</w:t>
      </w:r>
      <w:r>
        <w:rPr>
          <w:rFonts w:hint="default" w:ascii="Times New Roman" w:cs="Times New Roman"/>
          <w:highlight w:val="none"/>
          <w:lang w:val="en-US" w:eastAsia="zh-CN"/>
        </w:rPr>
        <w:t>组织应考虑碳绩效的改进机会和运行控制，包括</w:t>
      </w:r>
      <w:r>
        <w:rPr>
          <w:rFonts w:hint="eastAsia" w:ascii="Times New Roman" w:cs="Times New Roman"/>
          <w:highlight w:val="none"/>
          <w:lang w:val="en-US" w:eastAsia="zh-CN"/>
        </w:rPr>
        <w:t>：</w:t>
      </w:r>
    </w:p>
    <w:p w14:paraId="59EB60EC">
      <w:pPr>
        <w:pStyle w:val="160"/>
        <w:rPr>
          <w:rFonts w:hint="default" w:ascii="Times New Roman" w:hAnsi="Times New Roman" w:cs="Times New Roman"/>
          <w:lang w:val="en-US" w:eastAsia="zh-CN"/>
        </w:rPr>
      </w:pPr>
      <w:r>
        <w:rPr>
          <w:rFonts w:hint="default" w:ascii="Times New Roman" w:hAnsi="Times New Roman" w:cs="Times New Roman"/>
          <w:lang w:val="en-US" w:eastAsia="zh-CN"/>
        </w:rPr>
        <w:t>a）碳排放管理相关的国家发展战略，以及国家产业政策对组织的相关要求；</w:t>
      </w:r>
    </w:p>
    <w:p w14:paraId="2F422906">
      <w:pPr>
        <w:pStyle w:val="160"/>
        <w:rPr>
          <w:rFonts w:hint="default" w:ascii="Times New Roman" w:hAnsi="Times New Roman" w:cs="Times New Roman"/>
          <w:lang w:val="en-US" w:eastAsia="zh-CN"/>
        </w:rPr>
      </w:pPr>
      <w:r>
        <w:rPr>
          <w:rFonts w:hint="default" w:ascii="Times New Roman" w:hAnsi="Times New Roman" w:cs="Times New Roman"/>
          <w:lang w:val="en-US" w:eastAsia="zh-CN"/>
        </w:rPr>
        <w:t>b）行业相关节能设计标准规定的要求；</w:t>
      </w:r>
    </w:p>
    <w:p w14:paraId="070B779A">
      <w:pPr>
        <w:pStyle w:val="160"/>
        <w:rPr>
          <w:rFonts w:hint="default" w:ascii="Times New Roman" w:hAnsi="Times New Roman" w:cs="Times New Roman"/>
          <w:lang w:val="en-US" w:eastAsia="zh-CN"/>
        </w:rPr>
      </w:pPr>
      <w:r>
        <w:rPr>
          <w:rFonts w:hint="default" w:ascii="Times New Roman" w:hAnsi="Times New Roman" w:cs="Times New Roman"/>
          <w:lang w:val="en-US" w:eastAsia="zh-CN"/>
        </w:rPr>
        <w:t>c）相关方及组织自身的碳减排要求；</w:t>
      </w:r>
    </w:p>
    <w:p w14:paraId="1EF91E11">
      <w:pPr>
        <w:pStyle w:val="160"/>
        <w:rPr>
          <w:rFonts w:hint="default" w:ascii="Times New Roman" w:hAnsi="Times New Roman" w:cs="Times New Roman"/>
          <w:lang w:val="en-US" w:eastAsia="zh-CN"/>
        </w:rPr>
      </w:pPr>
      <w:r>
        <w:rPr>
          <w:rFonts w:hint="default" w:ascii="Times New Roman" w:hAnsi="Times New Roman" w:cs="Times New Roman"/>
          <w:lang w:val="en-US" w:eastAsia="zh-CN"/>
        </w:rPr>
        <w:t>d）产品结构的调整及新产品开发的可能性；</w:t>
      </w:r>
    </w:p>
    <w:p w14:paraId="38C88D79">
      <w:pPr>
        <w:pStyle w:val="160"/>
        <w:rPr>
          <w:rFonts w:hint="default" w:ascii="Times New Roman" w:hAnsi="Times New Roman" w:cs="Times New Roman"/>
          <w:lang w:val="en-US" w:eastAsia="zh-CN"/>
        </w:rPr>
      </w:pPr>
      <w:r>
        <w:rPr>
          <w:rFonts w:hint="default" w:ascii="Times New Roman" w:hAnsi="Times New Roman" w:cs="Times New Roman"/>
          <w:lang w:val="en-US" w:eastAsia="zh-CN"/>
        </w:rPr>
        <w:t>e）原料和燃料的选择，如清洁能源、可实现减碳效果的替代原料和/或燃料，适用时，考虑原料和燃料生产</w:t>
      </w:r>
      <w:r>
        <w:rPr>
          <w:rFonts w:hint="eastAsia" w:ascii="Times New Roman" w:cs="Times New Roman"/>
          <w:lang w:val="en-US" w:eastAsia="zh-CN"/>
        </w:rPr>
        <w:t>及</w:t>
      </w:r>
      <w:r>
        <w:rPr>
          <w:rFonts w:hint="default" w:ascii="Times New Roman" w:hAnsi="Times New Roman" w:cs="Times New Roman"/>
          <w:lang w:val="en-US" w:eastAsia="zh-CN"/>
        </w:rPr>
        <w:t>运输带入的隐含碳；</w:t>
      </w:r>
    </w:p>
    <w:p w14:paraId="4050FFE1">
      <w:pPr>
        <w:pStyle w:val="160"/>
        <w:rPr>
          <w:rFonts w:hint="default" w:ascii="Times New Roman" w:hAnsi="Times New Roman" w:cs="Times New Roman"/>
          <w:lang w:val="en-US" w:eastAsia="zh-CN"/>
        </w:rPr>
      </w:pPr>
      <w:r>
        <w:rPr>
          <w:rFonts w:hint="default" w:ascii="Times New Roman" w:hAnsi="Times New Roman" w:cs="Times New Roman"/>
          <w:lang w:val="en-US" w:eastAsia="zh-CN"/>
        </w:rPr>
        <w:t>f）节能降碳生产工艺的选择，如氢冶金、国家推荐使用的节能机电设备(产品)；</w:t>
      </w:r>
    </w:p>
    <w:p w14:paraId="532BEC19">
      <w:pPr>
        <w:pStyle w:val="160"/>
        <w:rPr>
          <w:rFonts w:hint="default" w:ascii="Times New Roman" w:hAnsi="Times New Roman" w:cs="Times New Roman"/>
          <w:lang w:val="en-US" w:eastAsia="zh-CN"/>
        </w:rPr>
      </w:pPr>
      <w:r>
        <w:rPr>
          <w:rFonts w:hint="default" w:ascii="Times New Roman" w:hAnsi="Times New Roman" w:cs="Times New Roman"/>
          <w:lang w:val="en-US" w:eastAsia="zh-CN"/>
        </w:rPr>
        <w:t>g）节能降碳及固碳技术的选择，如原燃料替代技术、钢化联产、碳捕集技术(CCUS)等；</w:t>
      </w:r>
    </w:p>
    <w:p w14:paraId="6347567D">
      <w:pPr>
        <w:pStyle w:val="169"/>
        <w:bidi w:val="0"/>
        <w:ind w:left="0" w:leftChars="0" w:firstLine="0" w:firstLineChars="0"/>
        <w:rPr>
          <w:rFonts w:hint="default" w:ascii="Times New Roman" w:cs="Times New Roman"/>
          <w:highlight w:val="none"/>
          <w:lang w:val="en-US" w:eastAsia="zh-CN"/>
        </w:rPr>
      </w:pPr>
      <w:r>
        <w:rPr>
          <w:rFonts w:hint="default" w:ascii="Times New Roman" w:cs="Times New Roman"/>
          <w:highlight w:val="none"/>
          <w:lang w:val="en-US" w:eastAsia="zh-CN"/>
        </w:rPr>
        <w:t>适用时，组织应将上述考虑碳绩效的结果纳入规范、设计和采购活动中，并保留与碳绩效相关的设计活动的文件化信息。</w:t>
      </w:r>
    </w:p>
    <w:p w14:paraId="557DE3C5">
      <w:pPr>
        <w:pStyle w:val="43"/>
        <w:spacing w:before="156" w:after="156"/>
        <w:outlineLvl w:val="9"/>
        <w:rPr>
          <w:rFonts w:hint="default" w:ascii="宋体" w:eastAsia="宋体"/>
          <w:bCs/>
          <w:szCs w:val="22"/>
          <w:highlight w:val="none"/>
          <w:lang w:val="en-US" w:eastAsia="zh-CN"/>
        </w:rPr>
      </w:pPr>
      <w:bookmarkStart w:id="108" w:name="_Toc13030"/>
      <w:r>
        <w:rPr>
          <w:rFonts w:hint="eastAsia" w:ascii="宋体" w:eastAsia="宋体"/>
          <w:bCs/>
          <w:szCs w:val="22"/>
          <w:highlight w:val="none"/>
          <w:lang w:val="en-US" w:eastAsia="zh-CN"/>
        </w:rPr>
        <w:t>采购控制</w:t>
      </w:r>
      <w:bookmarkEnd w:id="108"/>
    </w:p>
    <w:p w14:paraId="5EA2BE73">
      <w:pPr>
        <w:pStyle w:val="169"/>
        <w:bidi w:val="0"/>
        <w:ind w:left="0" w:leftChars="0" w:firstLine="0" w:firstLineChars="0"/>
        <w:rPr>
          <w:rFonts w:hint="default" w:ascii="Times New Roman" w:cs="Times New Roman"/>
          <w:highlight w:val="none"/>
          <w:lang w:val="en-US" w:eastAsia="zh-CN"/>
        </w:rPr>
      </w:pPr>
      <w:r>
        <w:rPr>
          <w:rFonts w:hint="default" w:ascii="Times New Roman" w:cs="Times New Roman"/>
          <w:highlight w:val="none"/>
          <w:lang w:val="en-US" w:eastAsia="zh-CN"/>
        </w:rPr>
        <w:t>组织在采购原材料、能源、设备、服务时，应考虑采购结果对组织自身碳绩效的影响。当采购预期对碳绩效产生显著影响时，组织应建立并实施相关准则，以评价在计划的或预期的运行期内的碳绩效。适用时，对碳绩效有重大影响的采购物资及服务包括但不限于</w:t>
      </w:r>
      <w:r>
        <w:rPr>
          <w:rFonts w:hint="eastAsia" w:ascii="Times New Roman" w:cs="Times New Roman"/>
          <w:highlight w:val="none"/>
          <w:lang w:val="en-US" w:eastAsia="zh-CN"/>
        </w:rPr>
        <w:t>：</w:t>
      </w:r>
    </w:p>
    <w:p w14:paraId="3CDE2253">
      <w:pPr>
        <w:pStyle w:val="160"/>
        <w:rPr>
          <w:rFonts w:hint="default" w:ascii="Times New Roman" w:hAnsi="Times New Roman" w:cs="Times New Roman"/>
          <w:lang w:val="en-US" w:eastAsia="zh-CN"/>
        </w:rPr>
      </w:pPr>
      <w:r>
        <w:rPr>
          <w:rFonts w:hint="eastAsia" w:ascii="Times New Roman" w:cs="Times New Roman"/>
          <w:lang w:val="en-US" w:eastAsia="zh-CN"/>
        </w:rPr>
        <w:t>a）</w:t>
      </w:r>
      <w:r>
        <w:rPr>
          <w:rFonts w:hint="default" w:ascii="Times New Roman" w:hAnsi="Times New Roman" w:cs="Times New Roman"/>
          <w:lang w:val="en-US" w:eastAsia="zh-CN"/>
        </w:rPr>
        <w:t>能源，如煤炭、天然气、燃油，以及外购电力和热力等</w:t>
      </w:r>
      <w:r>
        <w:rPr>
          <w:rFonts w:hint="eastAsia" w:ascii="Times New Roman" w:cs="Times New Roman"/>
          <w:lang w:val="en-US" w:eastAsia="zh-CN"/>
        </w:rPr>
        <w:t>；</w:t>
      </w:r>
    </w:p>
    <w:p w14:paraId="7F552712">
      <w:pPr>
        <w:pStyle w:val="160"/>
        <w:rPr>
          <w:rFonts w:hint="default" w:ascii="Times New Roman" w:hAnsi="Times New Roman" w:cs="Times New Roman"/>
          <w:lang w:val="en-US" w:eastAsia="zh-CN"/>
        </w:rPr>
      </w:pPr>
      <w:r>
        <w:rPr>
          <w:rFonts w:hint="eastAsia" w:ascii="Times New Roman" w:cs="Times New Roman"/>
          <w:lang w:val="en-US" w:eastAsia="zh-CN"/>
        </w:rPr>
        <w:t>b）含碳物料</w:t>
      </w:r>
      <w:r>
        <w:rPr>
          <w:rFonts w:hint="default" w:ascii="Times New Roman" w:hAnsi="Times New Roman" w:cs="Times New Roman"/>
          <w:lang w:val="en-US" w:eastAsia="zh-CN"/>
        </w:rPr>
        <w:t>，如</w:t>
      </w:r>
      <w:r>
        <w:rPr>
          <w:rFonts w:hint="eastAsia" w:ascii="Times New Roman" w:cs="Times New Roman"/>
          <w:lang w:val="en-US" w:eastAsia="zh-CN"/>
        </w:rPr>
        <w:t>铁合金、电极、</w:t>
      </w:r>
      <w:r>
        <w:rPr>
          <w:rFonts w:hint="default" w:ascii="Times New Roman" w:hAnsi="Times New Roman" w:cs="Times New Roman"/>
          <w:lang w:val="en-US" w:eastAsia="zh-CN"/>
        </w:rPr>
        <w:t>石灰石、白云石等</w:t>
      </w:r>
      <w:r>
        <w:rPr>
          <w:rFonts w:hint="eastAsia" w:ascii="Times New Roman" w:cs="Times New Roman"/>
          <w:lang w:val="en-US" w:eastAsia="zh-CN"/>
        </w:rPr>
        <w:t>；</w:t>
      </w:r>
    </w:p>
    <w:p w14:paraId="4A8848B5">
      <w:pPr>
        <w:pStyle w:val="160"/>
        <w:rPr>
          <w:rFonts w:hint="default" w:ascii="Times New Roman" w:hAnsi="Times New Roman" w:cs="Times New Roman"/>
          <w:lang w:val="en-US" w:eastAsia="zh-CN"/>
        </w:rPr>
      </w:pPr>
      <w:r>
        <w:rPr>
          <w:rFonts w:hint="eastAsia" w:ascii="Times New Roman" w:cs="Times New Roman"/>
          <w:lang w:val="en-US" w:eastAsia="zh-CN"/>
        </w:rPr>
        <w:t>c）</w:t>
      </w:r>
      <w:r>
        <w:rPr>
          <w:rFonts w:hint="default" w:ascii="Times New Roman" w:hAnsi="Times New Roman" w:cs="Times New Roman"/>
          <w:lang w:val="en-US" w:eastAsia="zh-CN"/>
        </w:rPr>
        <w:t>生产设备，以及配套</w:t>
      </w:r>
      <w:r>
        <w:rPr>
          <w:rFonts w:hint="eastAsia" w:ascii="Times New Roman" w:cs="Times New Roman"/>
          <w:lang w:val="en-US" w:eastAsia="zh-CN"/>
        </w:rPr>
        <w:t>的</w:t>
      </w:r>
      <w:r>
        <w:rPr>
          <w:rFonts w:hint="default" w:ascii="Times New Roman" w:hAnsi="Times New Roman" w:cs="Times New Roman"/>
          <w:lang w:val="en-US" w:eastAsia="zh-CN"/>
        </w:rPr>
        <w:t>辅助和附属设备</w:t>
      </w:r>
      <w:r>
        <w:rPr>
          <w:rFonts w:hint="eastAsia" w:ascii="Times New Roman" w:cs="Times New Roman"/>
          <w:lang w:val="en-US" w:eastAsia="zh-CN"/>
        </w:rPr>
        <w:t>；</w:t>
      </w:r>
    </w:p>
    <w:p w14:paraId="11F96341">
      <w:pPr>
        <w:pStyle w:val="160"/>
        <w:rPr>
          <w:rFonts w:hint="eastAsia" w:ascii="Times New Roman" w:cs="Times New Roman"/>
          <w:lang w:val="en-US" w:eastAsia="zh-CN"/>
        </w:rPr>
      </w:pPr>
      <w:r>
        <w:rPr>
          <w:rFonts w:hint="eastAsia" w:ascii="Times New Roman" w:hAnsi="Times New Roman" w:cs="Times New Roman"/>
          <w:lang w:val="en-US" w:eastAsia="zh-CN"/>
        </w:rPr>
        <w:t>d）</w:t>
      </w:r>
      <w:r>
        <w:rPr>
          <w:rFonts w:hint="eastAsia" w:ascii="Times New Roman" w:cs="Times New Roman"/>
          <w:lang w:val="en-US" w:eastAsia="zh-CN"/>
        </w:rPr>
        <w:t>温</w:t>
      </w:r>
      <w:r>
        <w:rPr>
          <w:rFonts w:hint="default" w:ascii="Times New Roman" w:hAnsi="Times New Roman" w:cs="Times New Roman"/>
          <w:lang w:val="en-US" w:eastAsia="zh-CN"/>
        </w:rPr>
        <w:t>室气体</w:t>
      </w:r>
      <w:r>
        <w:rPr>
          <w:rFonts w:hint="eastAsia" w:ascii="Times New Roman" w:cs="Times New Roman"/>
          <w:lang w:val="en-US" w:eastAsia="zh-CN"/>
        </w:rPr>
        <w:t>相关</w:t>
      </w:r>
      <w:r>
        <w:rPr>
          <w:rFonts w:hint="default" w:ascii="Times New Roman" w:hAnsi="Times New Roman" w:cs="Times New Roman"/>
          <w:lang w:val="en-US" w:eastAsia="zh-CN"/>
        </w:rPr>
        <w:t>技术服务，如温室气体审定与核查等</w:t>
      </w:r>
      <w:r>
        <w:rPr>
          <w:rFonts w:hint="eastAsia" w:ascii="Times New Roman" w:cs="Times New Roman"/>
          <w:lang w:val="en-US" w:eastAsia="zh-CN"/>
        </w:rPr>
        <w:t>；</w:t>
      </w:r>
    </w:p>
    <w:p w14:paraId="70009457">
      <w:pPr>
        <w:pStyle w:val="160"/>
        <w:rPr>
          <w:rFonts w:hint="default" w:ascii="Times New Roman" w:hAnsi="Times New Roman" w:cs="Times New Roman"/>
          <w:lang w:val="en-US" w:eastAsia="zh-CN"/>
        </w:rPr>
      </w:pPr>
      <w:r>
        <w:rPr>
          <w:rFonts w:hint="eastAsia" w:ascii="Times New Roman" w:cs="Times New Roman"/>
          <w:lang w:val="en-US" w:eastAsia="zh-CN"/>
        </w:rPr>
        <w:t>e）运输方式，如铁路运输、电车运输等。</w:t>
      </w:r>
    </w:p>
    <w:p w14:paraId="76D549F4">
      <w:pPr>
        <w:pStyle w:val="169"/>
        <w:bidi w:val="0"/>
        <w:ind w:left="0" w:leftChars="0" w:firstLine="0" w:firstLineChars="0"/>
        <w:rPr>
          <w:rFonts w:hint="default" w:ascii="Times New Roman" w:cs="Times New Roman"/>
          <w:highlight w:val="none"/>
          <w:lang w:val="en-US" w:eastAsia="zh-CN"/>
        </w:rPr>
      </w:pPr>
      <w:r>
        <w:rPr>
          <w:rFonts w:hint="eastAsia" w:ascii="Times New Roman" w:cs="Times New Roman"/>
          <w:highlight w:val="none"/>
          <w:lang w:val="en-US" w:eastAsia="zh-CN"/>
        </w:rPr>
        <w:t>采购过程中应考虑碳绩效要求，在采购规程、招标或合同文件中有所体现。鼓励将低碳的产品作为采购行为的第一选择。</w:t>
      </w:r>
    </w:p>
    <w:p w14:paraId="7891D12C">
      <w:pPr>
        <w:pStyle w:val="169"/>
        <w:bidi w:val="0"/>
        <w:ind w:left="0" w:leftChars="0" w:firstLine="0" w:firstLineChars="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供应商选择</w:t>
      </w:r>
    </w:p>
    <w:p w14:paraId="11666621">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在制定选择和评价供应商的准则中应考虑碳管理要求，评价结果及相关过程的记录应予以保持。</w:t>
      </w:r>
    </w:p>
    <w:p w14:paraId="53FCE220">
      <w:pPr>
        <w:pStyle w:val="43"/>
        <w:spacing w:before="156" w:after="156"/>
        <w:outlineLvl w:val="9"/>
        <w:rPr>
          <w:rFonts w:hint="eastAsia" w:ascii="宋体" w:eastAsia="宋体"/>
          <w:bCs/>
          <w:szCs w:val="22"/>
          <w:highlight w:val="none"/>
          <w:lang w:val="en-US" w:eastAsia="zh-CN"/>
        </w:rPr>
      </w:pPr>
      <w:r>
        <w:rPr>
          <w:rFonts w:hint="eastAsia" w:ascii="宋体" w:eastAsia="宋体"/>
          <w:bCs/>
          <w:szCs w:val="22"/>
          <w:highlight w:val="none"/>
          <w:lang w:val="en-US" w:eastAsia="zh-CN"/>
        </w:rPr>
        <w:t>生产过程控制</w:t>
      </w:r>
    </w:p>
    <w:p w14:paraId="0618CAB7">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钢铁企业应识别、策划与排放设施（包括直接和间接排放）相关的生产过程，确保在规定运行条件下，建立与碳基准、谈绩效参数、碳目标相一致的运行准则。宜包括：</w:t>
      </w:r>
    </w:p>
    <w:p w14:paraId="6EFD2D1F">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a)炼焦、烧结、炼铁、炼钢、轧钢等关键工序质量控制的运行过程，并规定其运行准则；</w:t>
      </w:r>
    </w:p>
    <w:p w14:paraId="4A51E549">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b)碳排放设施（如烧结机、鼓风机、高炉、转炉等）、设备、系统的运行和维护过程，并规定其运行准则；</w:t>
      </w:r>
    </w:p>
    <w:p w14:paraId="67DC98E5">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c)生产管理运行过程，并规定其运行准则（如台时产量、设备运转率等）；</w:t>
      </w:r>
    </w:p>
    <w:p w14:paraId="6D3860B2">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d)操作人员作业规范运行过程，如设备操作作业要求等；</w:t>
      </w:r>
    </w:p>
    <w:p w14:paraId="614594D6">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e)过程监视和测量设备设施控制，如电能表、电子汽车衡、轨道衡、皮带秤、流量计等；</w:t>
      </w:r>
    </w:p>
    <w:p w14:paraId="7DE00C5D">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f)使用清洁低碳能源，如在厂内安装太阳能电池板替代部分能源需求；</w:t>
      </w:r>
    </w:p>
    <w:p w14:paraId="107B7FAC">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g)优化钢铁产品生产流程降低碳排放，如提高高炉和转炉的热效率、引入高效设备和技术等。</w:t>
      </w:r>
    </w:p>
    <w:p w14:paraId="6246CE4A">
      <w:pPr>
        <w:pStyle w:val="43"/>
        <w:spacing w:before="156" w:after="156"/>
        <w:outlineLvl w:val="9"/>
        <w:rPr>
          <w:rFonts w:hint="eastAsia" w:ascii="宋体" w:eastAsia="宋体"/>
          <w:bCs/>
          <w:szCs w:val="22"/>
          <w:highlight w:val="none"/>
          <w:lang w:val="en-US" w:eastAsia="zh-CN"/>
        </w:rPr>
      </w:pPr>
      <w:r>
        <w:rPr>
          <w:rFonts w:hint="eastAsia" w:ascii="宋体" w:eastAsia="宋体"/>
          <w:bCs/>
          <w:szCs w:val="22"/>
          <w:highlight w:val="none"/>
          <w:lang w:val="en-US" w:eastAsia="zh-CN"/>
        </w:rPr>
        <w:t>产品使用与回收</w:t>
      </w:r>
    </w:p>
    <w:p w14:paraId="530E3B76">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钢铁企业应对产品使用和生命周期末端的进行控制。宜运用循环经济的思想，评估回收和再利用对碳绩效的影响。必要时，建立回收和再利用准则，以保证回收与再利用过程的实施。</w:t>
      </w:r>
    </w:p>
    <w:p w14:paraId="5DA80200">
      <w:pPr>
        <w:pStyle w:val="43"/>
        <w:spacing w:before="156" w:after="156"/>
        <w:outlineLvl w:val="9"/>
        <w:rPr>
          <w:rFonts w:hint="default" w:ascii="Times New Roman" w:hAnsi="Times New Roman" w:eastAsia="宋体" w:cs="Times New Roman"/>
          <w:bCs/>
          <w:szCs w:val="22"/>
          <w:highlight w:val="none"/>
          <w:lang w:val="en-US" w:eastAsia="zh-CN"/>
        </w:rPr>
      </w:pPr>
      <w:bookmarkStart w:id="109" w:name="_Toc16286"/>
      <w:r>
        <w:rPr>
          <w:rFonts w:hint="eastAsia" w:ascii="Times New Roman" w:hAnsi="Times New Roman" w:eastAsia="宋体" w:cs="Times New Roman"/>
          <w:bCs/>
          <w:szCs w:val="22"/>
          <w:highlight w:val="none"/>
          <w:lang w:val="en-US" w:eastAsia="zh-CN"/>
        </w:rPr>
        <w:t>运行控制</w:t>
      </w:r>
      <w:bookmarkEnd w:id="109"/>
    </w:p>
    <w:p w14:paraId="671D784F">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组织应建立、实施、控制并保持满足碳管理体系要求，以及实施所策划的应对风险和机遇的措施和实现碳目标的措施所需的过程。组织应建立过程的运行准则，并按照运行准则实施过程控制。</w:t>
      </w:r>
      <w:r>
        <w:rPr>
          <w:rFonts w:hint="eastAsia" w:ascii="Times New Roman" w:cs="Times New Roman"/>
          <w:highlight w:val="none"/>
          <w:lang w:val="en-US" w:eastAsia="zh-CN"/>
        </w:rPr>
        <w:t>组织应：</w:t>
      </w:r>
    </w:p>
    <w:p w14:paraId="1B55EDC7">
      <w:pPr>
        <w:pStyle w:val="160"/>
        <w:rPr>
          <w:rFonts w:hint="default" w:ascii="Times New Roman" w:cs="Times New Roman"/>
          <w:lang w:val="en-US" w:eastAsia="zh-CN"/>
        </w:rPr>
      </w:pPr>
      <w:r>
        <w:rPr>
          <w:rFonts w:hint="eastAsia" w:ascii="Times New Roman" w:cs="Times New Roman"/>
          <w:lang w:val="en-US" w:eastAsia="zh-CN"/>
        </w:rPr>
        <w:t>a）</w:t>
      </w:r>
      <w:r>
        <w:rPr>
          <w:rFonts w:hint="default" w:ascii="Times New Roman" w:cs="Times New Roman"/>
          <w:lang w:val="en-US" w:eastAsia="zh-CN"/>
        </w:rPr>
        <w:t>对碳评审中所确认的重要碳排放源和重要碳汇实施控制</w:t>
      </w:r>
      <w:r>
        <w:rPr>
          <w:rFonts w:hint="eastAsia" w:ascii="Times New Roman" w:cs="Times New Roman"/>
          <w:lang w:val="en-US" w:eastAsia="zh-CN"/>
        </w:rPr>
        <w:t>；</w:t>
      </w:r>
    </w:p>
    <w:p w14:paraId="6462F8B3">
      <w:pPr>
        <w:pStyle w:val="160"/>
        <w:rPr>
          <w:rFonts w:hint="default" w:ascii="Times New Roman" w:cs="Times New Roman"/>
          <w:lang w:val="en-US" w:eastAsia="zh-CN"/>
        </w:rPr>
      </w:pPr>
      <w:r>
        <w:rPr>
          <w:rFonts w:hint="eastAsia" w:ascii="Times New Roman" w:cs="Times New Roman"/>
          <w:lang w:val="en-US" w:eastAsia="zh-CN"/>
        </w:rPr>
        <w:t>b）</w:t>
      </w:r>
      <w:r>
        <w:rPr>
          <w:rFonts w:hint="default" w:ascii="Times New Roman" w:cs="Times New Roman"/>
          <w:lang w:val="en-US" w:eastAsia="zh-CN"/>
        </w:rPr>
        <w:t>对与碳排放相关变量的运行实施控制</w:t>
      </w:r>
      <w:r>
        <w:rPr>
          <w:rFonts w:hint="eastAsia" w:ascii="Times New Roman" w:cs="Times New Roman"/>
          <w:lang w:val="en-US" w:eastAsia="zh-CN"/>
        </w:rPr>
        <w:t>；</w:t>
      </w:r>
    </w:p>
    <w:p w14:paraId="1A128617">
      <w:pPr>
        <w:pStyle w:val="23"/>
        <w:numPr>
          <w:ilvl w:val="0"/>
          <w:numId w:val="0"/>
        </w:numPr>
        <w:ind w:firstLine="420" w:firstLineChars="200"/>
        <w:rPr>
          <w:rFonts w:hint="eastAsia" w:ascii="Times New Roman" w:cs="Times New Roman"/>
          <w:sz w:val="21"/>
          <w:szCs w:val="21"/>
          <w:highlight w:val="none"/>
          <w:lang w:val="en-US" w:eastAsia="zh-CN"/>
        </w:rPr>
      </w:pPr>
      <w:r>
        <w:rPr>
          <w:rFonts w:hint="eastAsia" w:ascii="Times New Roman" w:cs="Times New Roman"/>
          <w:sz w:val="21"/>
          <w:szCs w:val="21"/>
          <w:highlight w:val="none"/>
          <w:lang w:val="en-US" w:eastAsia="zh-CN"/>
        </w:rPr>
        <w:t>c）</w:t>
      </w:r>
      <w:r>
        <w:rPr>
          <w:rFonts w:hint="default" w:ascii="Times New Roman" w:hAnsi="Times New Roman" w:eastAsia="宋体" w:cs="Times New Roman"/>
          <w:sz w:val="21"/>
          <w:szCs w:val="21"/>
          <w:highlight w:val="none"/>
          <w:lang w:val="en-US" w:eastAsia="zh-CN"/>
        </w:rPr>
        <w:t>对设备、设施、系统的维护过程实施控制</w:t>
      </w:r>
      <w:r>
        <w:rPr>
          <w:rFonts w:hint="eastAsia" w:ascii="Times New Roman" w:cs="Times New Roman"/>
          <w:sz w:val="21"/>
          <w:szCs w:val="21"/>
          <w:highlight w:val="none"/>
          <w:lang w:val="en-US" w:eastAsia="zh-CN"/>
        </w:rPr>
        <w:t>；</w:t>
      </w:r>
    </w:p>
    <w:p w14:paraId="1871BE63">
      <w:pPr>
        <w:pStyle w:val="23"/>
        <w:numPr>
          <w:ilvl w:val="0"/>
          <w:numId w:val="0"/>
        </w:numPr>
        <w:ind w:firstLine="420" w:firstLineChars="200"/>
        <w:rPr>
          <w:rFonts w:hint="eastAsia" w:ascii="Times New Roman" w:cs="Times New Roman"/>
          <w:sz w:val="21"/>
          <w:szCs w:val="21"/>
          <w:highlight w:val="none"/>
          <w:lang w:val="en-US" w:eastAsia="zh-CN"/>
        </w:rPr>
      </w:pPr>
      <w:r>
        <w:rPr>
          <w:rFonts w:hint="eastAsia" w:ascii="Times New Roman" w:cs="Times New Roman"/>
          <w:sz w:val="21"/>
          <w:szCs w:val="21"/>
          <w:highlight w:val="none"/>
          <w:lang w:val="en-US" w:eastAsia="zh-CN"/>
        </w:rPr>
        <w:t>d）</w:t>
      </w:r>
      <w:r>
        <w:rPr>
          <w:rFonts w:hint="default" w:ascii="Times New Roman" w:cs="Times New Roman"/>
          <w:sz w:val="21"/>
          <w:szCs w:val="21"/>
          <w:highlight w:val="none"/>
          <w:lang w:val="en-US" w:eastAsia="zh-CN"/>
        </w:rPr>
        <w:t>对合规性义务落实到具体的运行过程实施控制</w:t>
      </w:r>
      <w:r>
        <w:rPr>
          <w:rFonts w:hint="eastAsia" w:ascii="Times New Roman" w:cs="Times New Roman"/>
          <w:sz w:val="21"/>
          <w:szCs w:val="21"/>
          <w:highlight w:val="none"/>
          <w:lang w:val="en-US" w:eastAsia="zh-CN"/>
        </w:rPr>
        <w:t>；</w:t>
      </w:r>
    </w:p>
    <w:p w14:paraId="5519FA04">
      <w:pPr>
        <w:pStyle w:val="23"/>
        <w:numPr>
          <w:ilvl w:val="0"/>
          <w:numId w:val="0"/>
        </w:numPr>
        <w:ind w:firstLine="420" w:firstLineChars="200"/>
        <w:rPr>
          <w:rFonts w:hint="default" w:ascii="Times New Roman" w:cs="Times New Roman"/>
          <w:sz w:val="21"/>
          <w:szCs w:val="21"/>
          <w:highlight w:val="none"/>
          <w:lang w:val="en-US" w:eastAsia="zh-CN"/>
        </w:rPr>
      </w:pPr>
      <w:r>
        <w:rPr>
          <w:rFonts w:hint="eastAsia" w:ascii="Times New Roman" w:cs="Times New Roman"/>
          <w:sz w:val="21"/>
          <w:szCs w:val="21"/>
          <w:highlight w:val="none"/>
          <w:lang w:val="en-US" w:eastAsia="zh-CN"/>
        </w:rPr>
        <w:t>e）</w:t>
      </w:r>
      <w:r>
        <w:rPr>
          <w:rFonts w:hint="default" w:ascii="Times New Roman" w:cs="Times New Roman"/>
          <w:sz w:val="21"/>
          <w:szCs w:val="21"/>
          <w:highlight w:val="none"/>
          <w:lang w:val="en-US" w:eastAsia="zh-CN"/>
        </w:rPr>
        <w:t>对碳目标的实现过程实施控制，适用时，包括</w:t>
      </w:r>
      <w:r>
        <w:rPr>
          <w:rFonts w:hint="eastAsia" w:ascii="Times New Roman" w:cs="Times New Roman"/>
          <w:sz w:val="21"/>
          <w:szCs w:val="21"/>
          <w:highlight w:val="none"/>
          <w:lang w:val="en-US" w:eastAsia="zh-CN"/>
        </w:rPr>
        <w:t>：</w:t>
      </w:r>
    </w:p>
    <w:p w14:paraId="6EFA7D10">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按照GB/T 32150、GB/T</w:t>
      </w:r>
      <w:r>
        <w:rPr>
          <w:rFonts w:hint="default" w:ascii="Times New Roman" w:hAnsi="Times New Roman" w:cs="Times New Roman"/>
          <w:sz w:val="21"/>
          <w:szCs w:val="21"/>
          <w:highlight w:val="none"/>
          <w:lang w:val="en-US" w:eastAsia="zh-CN"/>
        </w:rPr>
        <w:t xml:space="preserve"> </w:t>
      </w:r>
      <w:r>
        <w:rPr>
          <w:rFonts w:hint="default" w:ascii="Times New Roman" w:hAnsi="Times New Roman" w:eastAsia="宋体" w:cs="Times New Roman"/>
          <w:sz w:val="21"/>
          <w:szCs w:val="21"/>
          <w:highlight w:val="none"/>
          <w:lang w:val="en-US" w:eastAsia="zh-CN"/>
        </w:rPr>
        <w:t>32151.</w:t>
      </w:r>
      <w:r>
        <w:rPr>
          <w:rFonts w:hint="default" w:ascii="Times New Roman" w:hAnsi="Times New Roman" w:cs="Times New Roman"/>
          <w:sz w:val="21"/>
          <w:szCs w:val="21"/>
          <w:highlight w:val="none"/>
          <w:lang w:val="en-US" w:eastAsia="zh-CN"/>
        </w:rPr>
        <w:t>5</w:t>
      </w:r>
      <w:r>
        <w:rPr>
          <w:rFonts w:hint="default" w:ascii="Times New Roman" w:hAnsi="Times New Roman" w:eastAsia="宋体" w:cs="Times New Roman"/>
          <w:sz w:val="21"/>
          <w:szCs w:val="21"/>
          <w:highlight w:val="none"/>
          <w:lang w:val="en-US" w:eastAsia="zh-CN"/>
        </w:rPr>
        <w:t>等及其他适用标准要求进行碳排放的核算和报告</w:t>
      </w:r>
      <w:r>
        <w:rPr>
          <w:rFonts w:hint="default" w:ascii="Times New Roman" w:hAnsi="Times New Roman" w:cs="Times New Roman"/>
          <w:sz w:val="21"/>
          <w:szCs w:val="21"/>
          <w:highlight w:val="none"/>
          <w:lang w:val="en-US" w:eastAsia="zh-CN"/>
        </w:rPr>
        <w:t>；</w:t>
      </w:r>
    </w:p>
    <w:p w14:paraId="2F97D4E3">
      <w:pPr>
        <w:pStyle w:val="23"/>
        <w:numPr>
          <w:ilvl w:val="0"/>
          <w:numId w:val="0"/>
        </w:numPr>
        <w:ind w:firstLine="420" w:firstLineChars="200"/>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按照GB/T 33760、GBT 3375</w:t>
      </w:r>
      <w:r>
        <w:rPr>
          <w:rFonts w:hint="default" w:ascii="Times New Roman" w:hAnsi="Times New Roman" w:cs="Times New Roman"/>
          <w:sz w:val="21"/>
          <w:szCs w:val="21"/>
          <w:highlight w:val="none"/>
          <w:lang w:val="en-US" w:eastAsia="zh-CN"/>
        </w:rPr>
        <w:t>5</w:t>
      </w:r>
      <w:r>
        <w:rPr>
          <w:rFonts w:hint="default" w:ascii="Times New Roman" w:hAnsi="Times New Roman" w:eastAsia="宋体" w:cs="Times New Roman"/>
          <w:sz w:val="21"/>
          <w:szCs w:val="21"/>
          <w:highlight w:val="none"/>
          <w:lang w:val="en-US" w:eastAsia="zh-CN"/>
        </w:rPr>
        <w:t>等及其他适用标准开展基于项目的碳减排量评估</w:t>
      </w:r>
      <w:r>
        <w:rPr>
          <w:rFonts w:hint="default" w:ascii="Times New Roman" w:hAnsi="Times New Roman" w:cs="Times New Roman"/>
          <w:sz w:val="21"/>
          <w:szCs w:val="21"/>
          <w:highlight w:val="none"/>
          <w:lang w:val="en-US" w:eastAsia="zh-CN"/>
        </w:rPr>
        <w:t>；</w:t>
      </w:r>
    </w:p>
    <w:p w14:paraId="1ADF2489">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 xml:space="preserve">按照GB/T </w:t>
      </w:r>
      <w:r>
        <w:rPr>
          <w:rFonts w:hint="default" w:ascii="Times New Roman" w:hAnsi="Times New Roman" w:cs="Times New Roman"/>
          <w:sz w:val="21"/>
          <w:szCs w:val="21"/>
          <w:highlight w:val="none"/>
          <w:lang w:val="en-US" w:eastAsia="zh-CN"/>
        </w:rPr>
        <w:t>24067</w:t>
      </w:r>
      <w:r>
        <w:rPr>
          <w:rFonts w:hint="default" w:ascii="Times New Roman" w:hAnsi="Times New Roman" w:eastAsia="宋体" w:cs="Times New Roman"/>
          <w:sz w:val="21"/>
          <w:szCs w:val="21"/>
          <w:highlight w:val="none"/>
          <w:lang w:val="en-US" w:eastAsia="zh-CN"/>
        </w:rPr>
        <w:t>以及相关方法学开展产品碳足迹的量化。</w:t>
      </w:r>
    </w:p>
    <w:p w14:paraId="63DA5ECE">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eastAsia" w:ascii="Times New Roman" w:cs="Times New Roman"/>
          <w:sz w:val="21"/>
          <w:szCs w:val="21"/>
          <w:highlight w:val="none"/>
          <w:lang w:val="en-US" w:eastAsia="zh-CN"/>
        </w:rPr>
        <w:t>f）</w:t>
      </w:r>
      <w:r>
        <w:rPr>
          <w:rFonts w:hint="default" w:ascii="Times New Roman" w:hAnsi="Times New Roman" w:eastAsia="宋体" w:cs="Times New Roman"/>
          <w:sz w:val="21"/>
          <w:szCs w:val="21"/>
          <w:highlight w:val="none"/>
          <w:lang w:val="en-US" w:eastAsia="zh-CN"/>
        </w:rPr>
        <w:t>对碳资产管理的过程实施控制，包括免费获得及交易获得配额碳资产，或通过自身碳排放减排行动获得政府认可的减排碳资产</w:t>
      </w:r>
      <w:r>
        <w:rPr>
          <w:rFonts w:hint="eastAsia" w:ascii="Times New Roman" w:cs="Times New Roman"/>
          <w:sz w:val="21"/>
          <w:szCs w:val="21"/>
          <w:highlight w:val="none"/>
          <w:lang w:val="en-US" w:eastAsia="zh-CN"/>
        </w:rPr>
        <w:t>；</w:t>
      </w:r>
    </w:p>
    <w:p w14:paraId="3B7F187F">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g)对碳交易的过程实施控制</w:t>
      </w:r>
      <w:r>
        <w:rPr>
          <w:rFonts w:hint="eastAsia" w:ascii="Times New Roman"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包括组织参与碳排放权交易市场、碳排放自愿减排交易市场的有关活动</w:t>
      </w:r>
      <w:r>
        <w:rPr>
          <w:rFonts w:hint="eastAsia" w:ascii="Times New Roman" w:cs="Times New Roman"/>
          <w:sz w:val="21"/>
          <w:szCs w:val="21"/>
          <w:highlight w:val="none"/>
          <w:lang w:val="en-US" w:eastAsia="zh-CN"/>
        </w:rPr>
        <w:t>；</w:t>
      </w:r>
    </w:p>
    <w:p w14:paraId="3618D5AC">
      <w:pPr>
        <w:pStyle w:val="169"/>
        <w:bidi w:val="0"/>
        <w:ind w:left="0" w:leftChars="0" w:firstLine="0" w:firstLine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组织应保持必要程度的文件化信息，以</w:t>
      </w:r>
      <w:r>
        <w:rPr>
          <w:rFonts w:hint="eastAsia" w:ascii="Times New Roman" w:cs="Times New Roman"/>
          <w:highlight w:val="none"/>
          <w:lang w:val="en-US" w:eastAsia="zh-CN"/>
        </w:rPr>
        <w:t>确保</w:t>
      </w:r>
      <w:r>
        <w:rPr>
          <w:rFonts w:hint="default" w:ascii="Times New Roman" w:hAnsi="Times New Roman" w:cs="Times New Roman"/>
          <w:highlight w:val="none"/>
          <w:lang w:val="en-US" w:eastAsia="zh-CN"/>
        </w:rPr>
        <w:t>过程已按照策划得到实施。</w:t>
      </w:r>
    </w:p>
    <w:p w14:paraId="09BE120B">
      <w:pPr>
        <w:pStyle w:val="46"/>
        <w:spacing w:before="312" w:after="312"/>
        <w:rPr>
          <w:rFonts w:hint="default"/>
          <w:highlight w:val="none"/>
          <w:lang w:val="en-US" w:eastAsia="zh-CN"/>
        </w:rPr>
      </w:pPr>
      <w:bookmarkStart w:id="110" w:name="_Toc27919"/>
      <w:bookmarkStart w:id="111" w:name="_Toc2815"/>
      <w:r>
        <w:rPr>
          <w:rFonts w:hint="eastAsia"/>
          <w:highlight w:val="none"/>
          <w:lang w:val="en-US" w:eastAsia="zh-CN"/>
        </w:rPr>
        <w:t>绩效评价</w:t>
      </w:r>
      <w:bookmarkEnd w:id="110"/>
      <w:bookmarkEnd w:id="111"/>
    </w:p>
    <w:p w14:paraId="15940829">
      <w:pPr>
        <w:pStyle w:val="43"/>
        <w:spacing w:before="156" w:after="156"/>
        <w:outlineLvl w:val="9"/>
        <w:rPr>
          <w:rFonts w:hint="default" w:ascii="宋体" w:eastAsia="宋体"/>
          <w:bCs/>
          <w:szCs w:val="22"/>
          <w:highlight w:val="none"/>
          <w:lang w:val="en-US" w:eastAsia="zh-CN"/>
        </w:rPr>
      </w:pPr>
      <w:bookmarkStart w:id="112" w:name="_Toc15588"/>
      <w:r>
        <w:rPr>
          <w:rFonts w:hint="eastAsia" w:ascii="宋体" w:eastAsia="宋体"/>
          <w:bCs/>
          <w:szCs w:val="22"/>
          <w:highlight w:val="none"/>
          <w:lang w:val="en-US" w:eastAsia="zh-CN"/>
        </w:rPr>
        <w:t>监视、测量、分析和评价</w:t>
      </w:r>
      <w:bookmarkEnd w:id="112"/>
    </w:p>
    <w:p w14:paraId="34B7C788">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组织应对影响碳绩效的关键特性进行监视、测量、核算、分析与评价，并确定其时机和方法。组织应对结果保留适当的文件化信息，作为监视、测量、核算、分析与评价结果的证据，并为满足符合性要求及持续改进碳管理体系提供输入。</w:t>
      </w:r>
    </w:p>
    <w:p w14:paraId="3617EF25">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在进行监视、测量、核算、分析和评价时，组织应确定</w:t>
      </w:r>
      <w:r>
        <w:rPr>
          <w:rFonts w:hint="eastAsia" w:ascii="Times New Roman" w:cs="Times New Roman"/>
          <w:highlight w:val="none"/>
          <w:lang w:val="en-US" w:eastAsia="zh-CN"/>
        </w:rPr>
        <w:t>：</w:t>
      </w:r>
    </w:p>
    <w:p w14:paraId="43A929A9">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a）需要监视、测量、核算的内容，包括(不限于)</w:t>
      </w:r>
      <w:r>
        <w:rPr>
          <w:rFonts w:hint="eastAsia" w:ascii="Times New Roman" w:cs="Times New Roman"/>
          <w:sz w:val="21"/>
          <w:szCs w:val="21"/>
          <w:highlight w:val="none"/>
          <w:lang w:val="en-US" w:eastAsia="zh-CN"/>
        </w:rPr>
        <w:t>：</w:t>
      </w:r>
    </w:p>
    <w:p w14:paraId="6FE16BEB">
      <w:pPr>
        <w:pStyle w:val="23"/>
        <w:numPr>
          <w:ilvl w:val="0"/>
          <w:numId w:val="0"/>
        </w:numPr>
        <w:ind w:firstLine="420" w:firstLineChars="200"/>
        <w:rPr>
          <w:rFonts w:hint="eastAsia" w:asci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活动数据，如</w:t>
      </w:r>
      <w:r>
        <w:rPr>
          <w:rFonts w:hint="eastAsia" w:ascii="Times New Roman" w:cs="Times New Roman"/>
          <w:sz w:val="21"/>
          <w:szCs w:val="21"/>
          <w:highlight w:val="none"/>
          <w:lang w:val="en-US" w:eastAsia="zh-CN"/>
        </w:rPr>
        <w:t>煤、焦炭、煤气等能源物质使用量；铁合金、石灰石等含碳物料使用量；粗钢、钢材产品生产量等；</w:t>
      </w:r>
    </w:p>
    <w:p w14:paraId="087C4AF8">
      <w:pPr>
        <w:pStyle w:val="23"/>
        <w:numPr>
          <w:ilvl w:val="0"/>
          <w:numId w:val="0"/>
        </w:numPr>
        <w:ind w:firstLine="420" w:firstLineChars="200"/>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w:t>
      </w:r>
      <w:r>
        <w:rPr>
          <w:rFonts w:hint="eastAsia" w:ascii="Times New Roman" w:cs="Times New Roman"/>
          <w:sz w:val="21"/>
          <w:szCs w:val="21"/>
          <w:highlight w:val="none"/>
          <w:lang w:val="en-US" w:eastAsia="zh-CN"/>
        </w:rPr>
        <w:t>排放因子，如燃料热值、含碳物料的含碳量等；</w:t>
      </w:r>
    </w:p>
    <w:p w14:paraId="186BEB67">
      <w:pPr>
        <w:pStyle w:val="23"/>
        <w:numPr>
          <w:ilvl w:val="0"/>
          <w:numId w:val="0"/>
        </w:num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sz w:val="21"/>
          <w:szCs w:val="21"/>
          <w:highlight w:val="none"/>
          <w:lang w:val="en-US" w:eastAsia="zh-CN"/>
        </w:rPr>
        <w:t>——</w:t>
      </w:r>
      <w:r>
        <w:rPr>
          <w:rFonts w:hint="eastAsia" w:ascii="Times New Roman" w:hAnsi="Times New Roman" w:cs="Times New Roman"/>
          <w:highlight w:val="none"/>
          <w:lang w:val="en-US" w:eastAsia="zh-CN"/>
        </w:rPr>
        <w:t>设施、设备、系统和过程的运行参数</w:t>
      </w:r>
      <w:r>
        <w:rPr>
          <w:rFonts w:hint="eastAsia" w:ascii="Times New Roman" w:cs="Times New Roman"/>
          <w:highlight w:val="none"/>
          <w:lang w:val="en-US" w:eastAsia="zh-CN"/>
        </w:rPr>
        <w:t>；</w:t>
      </w:r>
    </w:p>
    <w:p w14:paraId="716AF8BE">
      <w:pPr>
        <w:pStyle w:val="23"/>
        <w:numPr>
          <w:ilvl w:val="0"/>
          <w:numId w:val="0"/>
        </w:numPr>
        <w:ind w:firstLine="420" w:firstLineChars="200"/>
        <w:rPr>
          <w:rFonts w:hint="eastAsia" w:ascii="Times New Roman" w:cs="Times New Roman"/>
          <w:highlight w:val="none"/>
          <w:lang w:val="en-US" w:eastAsia="zh-CN"/>
        </w:rPr>
      </w:pPr>
      <w:r>
        <w:rPr>
          <w:rFonts w:hint="default" w:ascii="Times New Roman" w:hAnsi="Times New Roman" w:cs="Times New Roman"/>
          <w:highlight w:val="none"/>
          <w:lang w:val="en-US" w:eastAsia="zh-CN"/>
        </w:rPr>
        <w:t>——产品</w:t>
      </w:r>
      <w:r>
        <w:rPr>
          <w:rFonts w:hint="eastAsia" w:ascii="Times New Roman" w:hAnsi="Times New Roman" w:cs="Times New Roman"/>
          <w:highlight w:val="none"/>
          <w:lang w:val="en-US" w:eastAsia="zh-CN"/>
        </w:rPr>
        <w:t>和服务、设备、能源及外包的采购结果，包括采购物资、供应链运输距离与方式等对碳排放有影响的相关参数</w:t>
      </w:r>
      <w:r>
        <w:rPr>
          <w:rFonts w:hint="eastAsia" w:ascii="Times New Roman" w:cs="Times New Roman"/>
          <w:highlight w:val="none"/>
          <w:lang w:val="en-US" w:eastAsia="zh-CN"/>
        </w:rPr>
        <w:t>；</w:t>
      </w:r>
    </w:p>
    <w:p w14:paraId="00DA961D">
      <w:pPr>
        <w:pStyle w:val="23"/>
        <w:numPr>
          <w:ilvl w:val="0"/>
          <w:numId w:val="0"/>
        </w:num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——对比</w:t>
      </w:r>
      <w:r>
        <w:rPr>
          <w:rFonts w:hint="eastAsia" w:ascii="Times New Roman" w:hAnsi="Times New Roman" w:cs="Times New Roman"/>
          <w:highlight w:val="none"/>
          <w:lang w:val="en-US" w:eastAsia="zh-CN"/>
        </w:rPr>
        <w:t>碳基准后的结</w:t>
      </w:r>
      <w:r>
        <w:rPr>
          <w:rFonts w:hint="default" w:ascii="Times New Roman" w:hAnsi="Times New Roman" w:cs="Times New Roman"/>
          <w:highlight w:val="none"/>
          <w:lang w:val="en-US" w:eastAsia="zh-CN"/>
        </w:rPr>
        <w:t>果，适用时包括项目的减排量评估；</w:t>
      </w:r>
    </w:p>
    <w:p w14:paraId="7D390284">
      <w:pPr>
        <w:pStyle w:val="23"/>
        <w:numPr>
          <w:ilvl w:val="0"/>
          <w:numId w:val="0"/>
        </w:numPr>
        <w:ind w:firstLine="420" w:firstLineChars="20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——碳目</w:t>
      </w:r>
      <w:r>
        <w:rPr>
          <w:rFonts w:hint="eastAsia" w:ascii="Times New Roman" w:hAnsi="Times New Roman" w:cs="Times New Roman"/>
          <w:highlight w:val="none"/>
          <w:lang w:val="en-US" w:eastAsia="zh-CN"/>
        </w:rPr>
        <w:t>标的实现程度</w:t>
      </w:r>
      <w:r>
        <w:rPr>
          <w:rFonts w:hint="eastAsia" w:ascii="Times New Roman" w:cs="Times New Roman"/>
          <w:highlight w:val="none"/>
          <w:lang w:val="en-US" w:eastAsia="zh-CN"/>
        </w:rPr>
        <w:t>；</w:t>
      </w:r>
    </w:p>
    <w:p w14:paraId="7DB839ED">
      <w:pPr>
        <w:pStyle w:val="23"/>
        <w:numPr>
          <w:ilvl w:val="0"/>
          <w:numId w:val="0"/>
        </w:numPr>
        <w:ind w:firstLine="42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——适用时，碳排放履约、碳交易、碳资产管理、碳中和的情况</w:t>
      </w:r>
      <w:r>
        <w:rPr>
          <w:rFonts w:hint="eastAsia" w:ascii="Times New Roman" w:cs="Times New Roman"/>
          <w:highlight w:val="none"/>
          <w:lang w:val="en-US" w:eastAsia="zh-CN"/>
        </w:rPr>
        <w:t>；</w:t>
      </w:r>
    </w:p>
    <w:p w14:paraId="31A8F6DB">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cs="Times New Roman"/>
          <w:sz w:val="21"/>
          <w:szCs w:val="21"/>
          <w:highlight w:val="none"/>
          <w:lang w:val="en-US" w:eastAsia="zh-CN"/>
        </w:rPr>
        <w:t>b）</w:t>
      </w:r>
      <w:r>
        <w:rPr>
          <w:rFonts w:hint="eastAsia" w:ascii="Times New Roman" w:hAnsi="Times New Roman" w:eastAsia="宋体" w:cs="Times New Roman"/>
          <w:sz w:val="21"/>
          <w:szCs w:val="21"/>
          <w:highlight w:val="none"/>
          <w:lang w:val="en-US" w:eastAsia="zh-CN"/>
        </w:rPr>
        <w:t>确定监视、测量、核算、分析和评价的方法，如GB/T 32150、GB/T 32151.</w:t>
      </w:r>
      <w:r>
        <w:rPr>
          <w:rFonts w:hint="eastAsia" w:ascii="Times New Roman" w:cs="Times New Roman"/>
          <w:sz w:val="21"/>
          <w:szCs w:val="21"/>
          <w:highlight w:val="none"/>
          <w:lang w:val="en-US" w:eastAsia="zh-CN"/>
        </w:rPr>
        <w:t>5</w:t>
      </w:r>
      <w:r>
        <w:rPr>
          <w:rFonts w:hint="eastAsia" w:ascii="Times New Roman" w:hAnsi="Times New Roman" w:eastAsia="宋体" w:cs="Times New Roman"/>
          <w:sz w:val="21"/>
          <w:szCs w:val="21"/>
          <w:highlight w:val="none"/>
          <w:lang w:val="en-US" w:eastAsia="zh-CN"/>
        </w:rPr>
        <w:t>或其他文件。确定评价其碳绩效所依据的准则和适当的参数，并定期对监视</w:t>
      </w:r>
      <w:r>
        <w:rPr>
          <w:rFonts w:hint="eastAsia" w:ascii="Times New Roman" w:cs="Times New Roman"/>
          <w:sz w:val="21"/>
          <w:szCs w:val="21"/>
          <w:highlight w:val="none"/>
          <w:lang w:val="en-US" w:eastAsia="zh-CN"/>
        </w:rPr>
        <w:t>、</w:t>
      </w:r>
      <w:r>
        <w:rPr>
          <w:rFonts w:hint="eastAsia" w:ascii="Times New Roman" w:hAnsi="Times New Roman" w:eastAsia="宋体" w:cs="Times New Roman"/>
          <w:sz w:val="21"/>
          <w:szCs w:val="21"/>
          <w:highlight w:val="none"/>
          <w:lang w:val="en-US" w:eastAsia="zh-CN"/>
        </w:rPr>
        <w:t>测量、核算的结果实施分析与评价。当测量、核算结果与预期</w:t>
      </w:r>
      <w:r>
        <w:rPr>
          <w:rFonts w:hint="eastAsia" w:ascii="Times New Roman" w:cs="Times New Roman"/>
          <w:sz w:val="21"/>
          <w:szCs w:val="21"/>
          <w:highlight w:val="none"/>
          <w:lang w:val="en-US" w:eastAsia="zh-CN"/>
        </w:rPr>
        <w:t>结果</w:t>
      </w:r>
      <w:r>
        <w:rPr>
          <w:rFonts w:hint="eastAsia" w:ascii="Times New Roman" w:hAnsi="Times New Roman" w:eastAsia="宋体" w:cs="Times New Roman"/>
          <w:sz w:val="21"/>
          <w:szCs w:val="21"/>
          <w:highlight w:val="none"/>
          <w:lang w:val="en-US" w:eastAsia="zh-CN"/>
        </w:rPr>
        <w:t>有较大偏差时，应分析原因</w:t>
      </w:r>
      <w:r>
        <w:rPr>
          <w:rFonts w:hint="eastAsia" w:ascii="Times New Roman" w:cs="Times New Roman"/>
          <w:sz w:val="21"/>
          <w:szCs w:val="21"/>
          <w:highlight w:val="none"/>
          <w:lang w:val="en-US" w:eastAsia="zh-CN"/>
        </w:rPr>
        <w:t>，</w:t>
      </w:r>
      <w:r>
        <w:rPr>
          <w:rFonts w:hint="eastAsia" w:ascii="Times New Roman" w:hAnsi="Times New Roman" w:eastAsia="宋体" w:cs="Times New Roman"/>
          <w:sz w:val="21"/>
          <w:szCs w:val="21"/>
          <w:highlight w:val="none"/>
          <w:lang w:val="en-US" w:eastAsia="zh-CN"/>
        </w:rPr>
        <w:t>包括不确定性分析、实施数据质量控制，评价是否需要采取相应的措施。适用时，不确定性分析的内容包括</w:t>
      </w:r>
      <w:r>
        <w:rPr>
          <w:rFonts w:hint="eastAsia" w:ascii="Times New Roman" w:cs="Times New Roman"/>
          <w:sz w:val="21"/>
          <w:szCs w:val="21"/>
          <w:highlight w:val="none"/>
          <w:lang w:val="en-US" w:eastAsia="zh-CN"/>
        </w:rPr>
        <w:t>：</w:t>
      </w:r>
    </w:p>
    <w:p w14:paraId="745D5FE2">
      <w:pPr>
        <w:pStyle w:val="160"/>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——温</w:t>
      </w:r>
      <w:r>
        <w:rPr>
          <w:rFonts w:hint="eastAsia" w:ascii="Times New Roman" w:hAnsi="Times New Roman" w:cs="Times New Roman"/>
          <w:highlight w:val="none"/>
          <w:lang w:val="en-US" w:eastAsia="zh-CN"/>
        </w:rPr>
        <w:t>室气体排放、清除的机理无法识别</w:t>
      </w:r>
      <w:r>
        <w:rPr>
          <w:rFonts w:hint="eastAsia" w:ascii="Times New Roman" w:cs="Times New Roman"/>
          <w:highlight w:val="none"/>
          <w:lang w:val="en-US" w:eastAsia="zh-CN"/>
        </w:rPr>
        <w:t>；</w:t>
      </w:r>
    </w:p>
    <w:p w14:paraId="3CAE4B6D">
      <w:pPr>
        <w:pStyle w:val="16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——缺少温室气体排放、清除的方法学</w:t>
      </w:r>
      <w:r>
        <w:rPr>
          <w:rFonts w:hint="eastAsia" w:ascii="Times New Roman" w:cs="Times New Roman"/>
          <w:highlight w:val="none"/>
          <w:lang w:val="en-US" w:eastAsia="zh-CN"/>
        </w:rPr>
        <w:t>；</w:t>
      </w:r>
    </w:p>
    <w:p w14:paraId="02928D1E">
      <w:pPr>
        <w:pStyle w:val="16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——无法获得或难于获得所必需的数据</w:t>
      </w:r>
      <w:r>
        <w:rPr>
          <w:rFonts w:hint="eastAsia" w:ascii="Times New Roman" w:cs="Times New Roman"/>
          <w:highlight w:val="none"/>
          <w:lang w:val="en-US" w:eastAsia="zh-CN"/>
        </w:rPr>
        <w:t>；</w:t>
      </w:r>
    </w:p>
    <w:p w14:paraId="3020401D">
      <w:pPr>
        <w:pStyle w:val="16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——选择的数据不具唯一性</w:t>
      </w:r>
      <w:r>
        <w:rPr>
          <w:rFonts w:hint="eastAsia" w:ascii="Times New Roman" w:cs="Times New Roman"/>
          <w:highlight w:val="none"/>
          <w:lang w:val="en-US" w:eastAsia="zh-CN"/>
        </w:rPr>
        <w:t>；</w:t>
      </w:r>
    </w:p>
    <w:p w14:paraId="2766AB30">
      <w:pPr>
        <w:pStyle w:val="16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——测量的不准确性。</w:t>
      </w:r>
    </w:p>
    <w:p w14:paraId="304CD829">
      <w:pPr>
        <w:pStyle w:val="160"/>
        <w:rPr>
          <w:rFonts w:hint="eastAsia" w:ascii="Times New Roman" w:hAnsi="Times New Roman" w:cs="Times New Roman"/>
          <w:highlight w:val="none"/>
          <w:lang w:val="en-US" w:eastAsia="zh-CN"/>
        </w:rPr>
      </w:pPr>
      <w:r>
        <w:rPr>
          <w:rFonts w:hint="eastAsia" w:ascii="Times New Roman" w:cs="Times New Roman"/>
          <w:highlight w:val="none"/>
          <w:lang w:val="en-US" w:eastAsia="zh-CN"/>
        </w:rPr>
        <w:t>c）</w:t>
      </w:r>
      <w:r>
        <w:rPr>
          <w:rFonts w:hint="eastAsia" w:ascii="Times New Roman" w:hAnsi="Times New Roman" w:cs="Times New Roman"/>
          <w:highlight w:val="none"/>
          <w:lang w:val="en-US" w:eastAsia="zh-CN"/>
        </w:rPr>
        <w:t>确保影响碳绩效的关键特性的数据可监视、可测量、可核算、可报告、可核查。</w:t>
      </w:r>
    </w:p>
    <w:p w14:paraId="77EB400B">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组织应对与碳管理体系有关的监视和测量设备和计量检测器具实施维护和校准(检定)，使其符合预期用途，以确保数据的完整、准确。组织应</w:t>
      </w:r>
      <w:r>
        <w:rPr>
          <w:rFonts w:hint="eastAsia" w:ascii="Times New Roman" w:cs="Times New Roman"/>
          <w:highlight w:val="none"/>
          <w:lang w:val="en-US" w:eastAsia="zh-CN"/>
        </w:rPr>
        <w:t>：</w:t>
      </w:r>
    </w:p>
    <w:p w14:paraId="03702AC7">
      <w:pPr>
        <w:pStyle w:val="16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a）按照GB 17167、GB/T 21368要求，配备能源计量设备；</w:t>
      </w:r>
    </w:p>
    <w:p w14:paraId="331E4D02">
      <w:pPr>
        <w:pStyle w:val="160"/>
        <w:rPr>
          <w:rFonts w:hint="eastAsia" w:ascii="Times New Roman" w:cs="Times New Roman"/>
          <w:highlight w:val="none"/>
          <w:lang w:val="en-US" w:eastAsia="zh-CN"/>
        </w:rPr>
      </w:pPr>
      <w:r>
        <w:rPr>
          <w:rFonts w:hint="eastAsia" w:ascii="Times New Roman" w:hAnsi="Times New Roman" w:cs="Times New Roman"/>
          <w:highlight w:val="none"/>
          <w:lang w:val="en-US" w:eastAsia="zh-CN"/>
        </w:rPr>
        <w:t>b）当涉及非能源类的碳排放时</w:t>
      </w:r>
      <w:r>
        <w:rPr>
          <w:rFonts w:hint="eastAsia" w:ascii="Times New Roman" w:cs="Times New Roman"/>
          <w:highlight w:val="none"/>
          <w:lang w:val="en-US" w:eastAsia="zh-CN"/>
        </w:rPr>
        <w:t>，</w:t>
      </w:r>
      <w:r>
        <w:rPr>
          <w:rFonts w:hint="eastAsia" w:ascii="Times New Roman" w:hAnsi="Times New Roman" w:cs="Times New Roman"/>
          <w:highlight w:val="none"/>
          <w:lang w:val="en-US" w:eastAsia="zh-CN"/>
        </w:rPr>
        <w:t>如过程排放</w:t>
      </w:r>
      <w:r>
        <w:rPr>
          <w:rFonts w:hint="eastAsia" w:ascii="Times New Roman" w:cs="Times New Roman"/>
          <w:highlight w:val="none"/>
          <w:lang w:val="en-US" w:eastAsia="zh-CN"/>
        </w:rPr>
        <w:t>，</w:t>
      </w:r>
      <w:r>
        <w:rPr>
          <w:rFonts w:hint="eastAsia" w:ascii="Times New Roman" w:hAnsi="Times New Roman" w:cs="Times New Roman"/>
          <w:highlight w:val="none"/>
          <w:lang w:val="en-US" w:eastAsia="zh-CN"/>
        </w:rPr>
        <w:t>组织还应按照自身要求配备相关的计量、分析器具</w:t>
      </w:r>
      <w:r>
        <w:rPr>
          <w:rFonts w:hint="eastAsia" w:ascii="Times New Roman" w:cs="Times New Roman"/>
          <w:highlight w:val="none"/>
          <w:lang w:val="en-US" w:eastAsia="zh-CN"/>
        </w:rPr>
        <w:t>；</w:t>
      </w:r>
    </w:p>
    <w:p w14:paraId="79E3087F">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与法律法规及其他要求合规性的评价</w:t>
      </w:r>
    </w:p>
    <w:p w14:paraId="0507608B">
      <w:pPr>
        <w:pStyle w:val="169"/>
        <w:numPr>
          <w:ilvl w:val="3"/>
          <w:numId w:val="2"/>
        </w:numPr>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组织应按规定的时间间隔进行合规性评价。合规性评价的方式取决于合规义务对碳管理体系的影响程度。对组织的碳管理体系有重要影响的合规义务应重点评价，如与碳排放、碳足迹核算与报告有关的GB/T 32150、GB/T 32151.5、GB/T 24067与监视测量设备的配置和管理有关的GB 17167、GB/T 21368与能源消耗有关的GB 21256、GB 21341等标准的符合性。</w:t>
      </w:r>
    </w:p>
    <w:p w14:paraId="0F4C31CA">
      <w:pPr>
        <w:pStyle w:val="169"/>
        <w:numPr>
          <w:ilvl w:val="3"/>
          <w:numId w:val="2"/>
        </w:numPr>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当发生以下情况时，应在适宜的时机开展合规性评价</w:t>
      </w:r>
      <w:r>
        <w:rPr>
          <w:rFonts w:hint="eastAsia" w:ascii="Times New Roman" w:cs="Times New Roman"/>
          <w:highlight w:val="none"/>
          <w:lang w:val="en-US" w:eastAsia="zh-CN"/>
        </w:rPr>
        <w:t>：</w:t>
      </w:r>
    </w:p>
    <w:p w14:paraId="3299342A">
      <w:pPr>
        <w:pStyle w:val="16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a）国家、行业和地方相关的法律法规、标准变化；</w:t>
      </w:r>
    </w:p>
    <w:p w14:paraId="4ADB5D61">
      <w:pPr>
        <w:pStyle w:val="160"/>
        <w:rPr>
          <w:rFonts w:hint="eastAsia" w:ascii="Times New Roman" w:hAnsi="Times New Roman" w:cs="Times New Roman"/>
          <w:highlight w:val="none"/>
          <w:lang w:val="en-US" w:eastAsia="zh-CN"/>
        </w:rPr>
      </w:pPr>
      <w:r>
        <w:rPr>
          <w:rFonts w:hint="eastAsia" w:ascii="Times New Roman" w:cs="Times New Roman"/>
          <w:highlight w:val="none"/>
          <w:lang w:val="en-US" w:eastAsia="zh-CN"/>
        </w:rPr>
        <w:t>b）</w:t>
      </w:r>
      <w:r>
        <w:rPr>
          <w:rFonts w:hint="eastAsia" w:ascii="Times New Roman" w:hAnsi="Times New Roman" w:cs="Times New Roman"/>
          <w:highlight w:val="none"/>
          <w:lang w:val="en-US" w:eastAsia="zh-CN"/>
        </w:rPr>
        <w:t>其它外部因素变化，如顾客的需求、上下游供应链的重大变更</w:t>
      </w:r>
      <w:r>
        <w:rPr>
          <w:rFonts w:hint="eastAsia" w:ascii="Times New Roman" w:cs="Times New Roman"/>
          <w:highlight w:val="none"/>
          <w:lang w:val="en-US" w:eastAsia="zh-CN"/>
        </w:rPr>
        <w:t>；</w:t>
      </w:r>
    </w:p>
    <w:p w14:paraId="197FAC43">
      <w:pPr>
        <w:pStyle w:val="160"/>
        <w:rPr>
          <w:rFonts w:hint="eastAsia" w:ascii="Times New Roman" w:hAnsi="Times New Roman" w:cs="Times New Roman"/>
          <w:highlight w:val="none"/>
          <w:lang w:val="en-US" w:eastAsia="zh-CN"/>
        </w:rPr>
      </w:pPr>
      <w:r>
        <w:rPr>
          <w:rFonts w:hint="eastAsia" w:ascii="Times New Roman" w:cs="Times New Roman"/>
          <w:highlight w:val="none"/>
          <w:lang w:val="en-US" w:eastAsia="zh-CN"/>
        </w:rPr>
        <w:t>c）</w:t>
      </w:r>
      <w:r>
        <w:rPr>
          <w:rFonts w:hint="eastAsia" w:ascii="Times New Roman" w:hAnsi="Times New Roman" w:cs="Times New Roman"/>
          <w:highlight w:val="none"/>
          <w:lang w:val="en-US" w:eastAsia="zh-CN"/>
        </w:rPr>
        <w:t>组织运行条件变更，如工艺、设备变化。</w:t>
      </w:r>
    </w:p>
    <w:p w14:paraId="15C999AC">
      <w:pPr>
        <w:pStyle w:val="169"/>
        <w:numPr>
          <w:ilvl w:val="3"/>
          <w:numId w:val="2"/>
        </w:numPr>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合规性评价方法可采用定性分析和定量分析，定量分析时可结合碳核算、碳核查、碳交易、低碳产品、碳足迹量化对标结果等进行分析。</w:t>
      </w:r>
    </w:p>
    <w:p w14:paraId="03B530B3">
      <w:pPr>
        <w:pStyle w:val="169"/>
        <w:numPr>
          <w:ilvl w:val="3"/>
          <w:numId w:val="2"/>
        </w:numPr>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当合规性评价结果表明存在不合规情况时，组织应进行原因分析，适当时采取必要的措施，并评价措施的有效性。</w:t>
      </w:r>
    </w:p>
    <w:p w14:paraId="1D900DBC">
      <w:pPr>
        <w:pStyle w:val="169"/>
        <w:numPr>
          <w:ilvl w:val="3"/>
          <w:numId w:val="2"/>
        </w:numPr>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组织应保留合规性评价的结果及所采取措施的文件化信息。</w:t>
      </w:r>
    </w:p>
    <w:p w14:paraId="699F1AE7">
      <w:pPr>
        <w:pStyle w:val="43"/>
        <w:spacing w:before="156" w:after="156"/>
        <w:outlineLvl w:val="9"/>
        <w:rPr>
          <w:rFonts w:hint="default" w:ascii="Times New Roman" w:hAnsi="Times New Roman" w:eastAsia="宋体" w:cs="Times New Roman"/>
          <w:bCs/>
          <w:szCs w:val="22"/>
          <w:highlight w:val="none"/>
          <w:lang w:val="en-US" w:eastAsia="zh-CN"/>
        </w:rPr>
      </w:pPr>
      <w:bookmarkStart w:id="113" w:name="_Toc3100"/>
      <w:r>
        <w:rPr>
          <w:rFonts w:hint="eastAsia" w:ascii="Times New Roman" w:hAnsi="Times New Roman" w:eastAsia="宋体" w:cs="Times New Roman"/>
          <w:bCs/>
          <w:szCs w:val="22"/>
          <w:highlight w:val="none"/>
          <w:lang w:val="en-US" w:eastAsia="zh-CN"/>
        </w:rPr>
        <w:t>内部审核</w:t>
      </w:r>
      <w:bookmarkEnd w:id="113"/>
    </w:p>
    <w:p w14:paraId="06C4C6EB">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总则</w:t>
      </w:r>
    </w:p>
    <w:p w14:paraId="23AB2308">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应按照策划的时间间隔进行内部审核，以提供下列有关碳排放管理体系的信息是否符合：</w:t>
      </w:r>
    </w:p>
    <w:p w14:paraId="32D44ACC">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a</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自身的碳管理要求和相关标准的要求；</w:t>
      </w:r>
    </w:p>
    <w:p w14:paraId="04A48186">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b</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是否得到有效的实施和保持。</w:t>
      </w:r>
    </w:p>
    <w:p w14:paraId="4CE76CB9">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内部审核方案</w:t>
      </w:r>
    </w:p>
    <w:p w14:paraId="7E5CF685">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应建立、实施并保持一个或多个内部审核方案，包括实施审核的频次、方法、职责、策划要求和内部审核报告。建立内部审核方案时，</w:t>
      </w:r>
      <w:r>
        <w:rPr>
          <w:rFonts w:hint="eastAsia" w:ascii="Times New Roman" w:hAnsi="Times New Roman" w:eastAsia="宋体" w:cs="Times New Roman"/>
          <w:sz w:val="21"/>
          <w:szCs w:val="21"/>
          <w:highlight w:val="none"/>
          <w:lang w:val="en-US" w:eastAsia="zh-CN"/>
        </w:rPr>
        <w:t>企业</w:t>
      </w:r>
      <w:r>
        <w:rPr>
          <w:rFonts w:hint="default" w:ascii="Times New Roman" w:hAnsi="Times New Roman" w:eastAsia="宋体" w:cs="Times New Roman"/>
          <w:sz w:val="21"/>
          <w:szCs w:val="21"/>
          <w:highlight w:val="none"/>
          <w:lang w:val="en-US" w:eastAsia="zh-CN"/>
        </w:rPr>
        <w:t>必须考虑相关过程的重要性、影响</w:t>
      </w:r>
      <w:r>
        <w:rPr>
          <w:rFonts w:hint="eastAsia" w:ascii="Times New Roman" w:hAnsi="Times New Roman" w:eastAsia="宋体" w:cs="Times New Roman"/>
          <w:sz w:val="21"/>
          <w:szCs w:val="21"/>
          <w:highlight w:val="none"/>
          <w:lang w:val="en-US" w:eastAsia="zh-CN"/>
        </w:rPr>
        <w:t>企业</w:t>
      </w:r>
      <w:r>
        <w:rPr>
          <w:rFonts w:hint="default" w:ascii="Times New Roman" w:hAnsi="Times New Roman" w:eastAsia="宋体" w:cs="Times New Roman"/>
          <w:sz w:val="21"/>
          <w:szCs w:val="21"/>
          <w:highlight w:val="none"/>
          <w:lang w:val="en-US" w:eastAsia="zh-CN"/>
        </w:rPr>
        <w:t>的变化以及以往审核的结果。应：</w:t>
      </w:r>
    </w:p>
    <w:p w14:paraId="6E34B012">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a</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规定每次审核准则和范围；</w:t>
      </w:r>
    </w:p>
    <w:p w14:paraId="51226ADF">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b</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选择审核员并实施审核，以确保审核过程客观性和公正性；</w:t>
      </w:r>
    </w:p>
    <w:p w14:paraId="5820C9FF">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c</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确保将审核结果报告给相关管理者；</w:t>
      </w:r>
    </w:p>
    <w:p w14:paraId="216EB399">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d</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及时采取适当的纠正和纠正措施；</w:t>
      </w:r>
    </w:p>
    <w:p w14:paraId="026CBCB2">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e）</w:t>
      </w:r>
      <w:r>
        <w:rPr>
          <w:rFonts w:hint="default" w:ascii="Times New Roman" w:hAnsi="Times New Roman" w:eastAsia="宋体" w:cs="Times New Roman"/>
          <w:sz w:val="21"/>
          <w:szCs w:val="21"/>
          <w:highlight w:val="none"/>
          <w:lang w:val="en-US" w:eastAsia="zh-CN"/>
        </w:rPr>
        <w:t>保留成文信息，作为实施审核方案以及审核结果的证据</w:t>
      </w:r>
      <w:r>
        <w:rPr>
          <w:rFonts w:hint="eastAsia" w:ascii="Times New Roman" w:hAnsi="Times New Roman" w:eastAsia="宋体" w:cs="Times New Roman"/>
          <w:sz w:val="21"/>
          <w:szCs w:val="21"/>
          <w:highlight w:val="none"/>
          <w:lang w:val="en-US" w:eastAsia="zh-CN"/>
        </w:rPr>
        <w:t>。</w:t>
      </w:r>
    </w:p>
    <w:p w14:paraId="4F5EA767">
      <w:pPr>
        <w:pStyle w:val="43"/>
        <w:spacing w:before="156" w:after="156"/>
        <w:outlineLvl w:val="9"/>
        <w:rPr>
          <w:rFonts w:hint="default" w:ascii="Times New Roman" w:hAnsi="Times New Roman" w:eastAsia="宋体" w:cs="Times New Roman"/>
          <w:bCs/>
          <w:szCs w:val="22"/>
          <w:highlight w:val="none"/>
          <w:lang w:val="en-US" w:eastAsia="zh-CN"/>
        </w:rPr>
      </w:pPr>
      <w:bookmarkStart w:id="114" w:name="_Toc19644"/>
      <w:r>
        <w:rPr>
          <w:rFonts w:hint="eastAsia" w:ascii="Times New Roman" w:hAnsi="Times New Roman" w:eastAsia="宋体" w:cs="Times New Roman"/>
          <w:bCs/>
          <w:szCs w:val="22"/>
          <w:highlight w:val="none"/>
          <w:lang w:val="en-US" w:eastAsia="zh-CN"/>
        </w:rPr>
        <w:t>管理评审</w:t>
      </w:r>
      <w:bookmarkEnd w:id="114"/>
    </w:p>
    <w:p w14:paraId="1DFBD8ED">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总则</w:t>
      </w:r>
    </w:p>
    <w:p w14:paraId="3C43B073">
      <w:pPr>
        <w:pStyle w:val="169"/>
        <w:numPr>
          <w:ilvl w:val="3"/>
          <w:numId w:val="2"/>
        </w:numPr>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最高管理者应定期对碳管理体系进行评审，以确保其持续的适宜性、充分性和有效性。</w:t>
      </w:r>
    </w:p>
    <w:p w14:paraId="13338183">
      <w:pPr>
        <w:pStyle w:val="169"/>
        <w:numPr>
          <w:ilvl w:val="3"/>
          <w:numId w:val="2"/>
        </w:numPr>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管理评审通常每12个月进行一次，一般在一次完整的内部审核后进行。</w:t>
      </w:r>
    </w:p>
    <w:p w14:paraId="004A402B">
      <w:pPr>
        <w:pStyle w:val="169"/>
        <w:numPr>
          <w:ilvl w:val="3"/>
          <w:numId w:val="2"/>
        </w:numPr>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管理评审可采用以下步骤进行：</w:t>
      </w:r>
    </w:p>
    <w:p w14:paraId="590C5303">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a</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制定计划，明确开展管理评审的时间、目的、内容、参加人员、输入信息等要求；</w:t>
      </w:r>
    </w:p>
    <w:p w14:paraId="22D85B91">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b</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实施管理评审，记录评审过程；</w:t>
      </w:r>
    </w:p>
    <w:p w14:paraId="77F85F03">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c</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编制评审报告，内容包括：体系的适宜性、充分性和有效性的评价，改进措施等；</w:t>
      </w:r>
    </w:p>
    <w:p w14:paraId="3993B78B">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d</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对提出的改进措施及时实施，并进行效果验证。</w:t>
      </w:r>
    </w:p>
    <w:p w14:paraId="567907B6">
      <w:pPr>
        <w:pStyle w:val="169"/>
        <w:numPr>
          <w:ilvl w:val="3"/>
          <w:numId w:val="2"/>
        </w:numPr>
        <w:bidi w:val="0"/>
        <w:ind w:left="0" w:leftChars="0" w:firstLine="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应保持管理评审记录，结果要形成评审报告。</w:t>
      </w:r>
    </w:p>
    <w:p w14:paraId="212C1F28">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cs="Times New Roman"/>
          <w:highlight w:val="none"/>
          <w:lang w:val="en-US" w:eastAsia="zh-CN"/>
        </w:rPr>
        <w:t>管理</w:t>
      </w:r>
      <w:r>
        <w:rPr>
          <w:rFonts w:hint="eastAsia" w:ascii="Times New Roman" w:hAnsi="Times New Roman" w:cs="Times New Roman"/>
          <w:highlight w:val="none"/>
          <w:lang w:val="en-US" w:eastAsia="zh-CN"/>
        </w:rPr>
        <w:t>评审输入</w:t>
      </w:r>
    </w:p>
    <w:p w14:paraId="03D9B449">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cs="Times New Roman"/>
          <w:sz w:val="21"/>
          <w:szCs w:val="21"/>
          <w:highlight w:val="none"/>
          <w:lang w:val="en-US" w:eastAsia="zh-CN"/>
        </w:rPr>
        <w:t>管理</w:t>
      </w:r>
      <w:r>
        <w:rPr>
          <w:rFonts w:hint="eastAsia" w:ascii="Times New Roman" w:hAnsi="Times New Roman" w:eastAsia="宋体" w:cs="Times New Roman"/>
          <w:sz w:val="21"/>
          <w:szCs w:val="21"/>
          <w:highlight w:val="none"/>
          <w:lang w:val="en-US" w:eastAsia="zh-CN"/>
        </w:rPr>
        <w:t>评审输入应包括：</w:t>
      </w:r>
    </w:p>
    <w:p w14:paraId="509B21DD">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bookmarkStart w:id="115" w:name="OLE_LINK4"/>
      <w:r>
        <w:rPr>
          <w:rFonts w:hint="default" w:ascii="Times New Roman" w:hAnsi="Times New Roman" w:eastAsia="宋体" w:cs="Times New Roman"/>
          <w:sz w:val="21"/>
          <w:szCs w:val="21"/>
          <w:highlight w:val="none"/>
          <w:lang w:val="en-US" w:eastAsia="zh-CN"/>
        </w:rPr>
        <w:t>a</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审核的结果，包括内部审核、第二方审核、第三方审核以及国家、地方或组织开展的碳排放核查结果，以评价组织碳排放管理体系是否有效运行；</w:t>
      </w:r>
    </w:p>
    <w:p w14:paraId="51DFD0B1">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b</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相关方的反馈，以分析和明确外部对碳排放方面的最新要求，为</w:t>
      </w:r>
      <w:r>
        <w:rPr>
          <w:rFonts w:hint="eastAsia" w:ascii="Times New Roman" w:cs="Times New Roman"/>
          <w:sz w:val="21"/>
          <w:szCs w:val="21"/>
          <w:highlight w:val="none"/>
          <w:lang w:val="en-US" w:eastAsia="zh-CN"/>
        </w:rPr>
        <w:t>组织</w:t>
      </w:r>
      <w:r>
        <w:rPr>
          <w:rFonts w:hint="default" w:ascii="Times New Roman" w:hAnsi="Times New Roman" w:eastAsia="宋体" w:cs="Times New Roman"/>
          <w:sz w:val="21"/>
          <w:szCs w:val="21"/>
          <w:highlight w:val="none"/>
          <w:lang w:val="en-US" w:eastAsia="zh-CN"/>
        </w:rPr>
        <w:t>调整碳管理方针、目标和指标，确定相应的碳排放标杆提供依据；</w:t>
      </w:r>
    </w:p>
    <w:p w14:paraId="41701129">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c</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碳管理的承诺与绩效。在评审时应提供各方面绩效的实际指标，以确定</w:t>
      </w:r>
      <w:r>
        <w:rPr>
          <w:rFonts w:hint="eastAsia" w:ascii="Times New Roman" w:cs="Times New Roman"/>
          <w:sz w:val="21"/>
          <w:szCs w:val="21"/>
          <w:highlight w:val="none"/>
          <w:lang w:val="en-US" w:eastAsia="zh-CN"/>
        </w:rPr>
        <w:t>组织</w:t>
      </w:r>
      <w:r>
        <w:rPr>
          <w:rFonts w:hint="default" w:ascii="Times New Roman" w:hAnsi="Times New Roman" w:eastAsia="宋体" w:cs="Times New Roman"/>
          <w:sz w:val="21"/>
          <w:szCs w:val="21"/>
          <w:highlight w:val="none"/>
          <w:lang w:val="en-US" w:eastAsia="zh-CN"/>
        </w:rPr>
        <w:t>碳管理承诺和绩效实现的真实性，并与</w:t>
      </w:r>
      <w:r>
        <w:rPr>
          <w:rFonts w:hint="eastAsia" w:ascii="Times New Roman" w:cs="Times New Roman"/>
          <w:sz w:val="21"/>
          <w:szCs w:val="21"/>
          <w:highlight w:val="none"/>
          <w:lang w:val="en-US" w:eastAsia="zh-CN"/>
        </w:rPr>
        <w:t>组织</w:t>
      </w:r>
      <w:r>
        <w:rPr>
          <w:rFonts w:hint="default" w:ascii="Times New Roman" w:hAnsi="Times New Roman" w:eastAsia="宋体" w:cs="Times New Roman"/>
          <w:sz w:val="21"/>
          <w:szCs w:val="21"/>
          <w:highlight w:val="none"/>
          <w:lang w:val="en-US" w:eastAsia="zh-CN"/>
        </w:rPr>
        <w:t>的预期目标、碳管理标杆相比较，确定改进碳管理绩效的机会；</w:t>
      </w:r>
    </w:p>
    <w:p w14:paraId="7A37E5A9">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d</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目标和指标的实现程度，包括碳排放水平变化、碳排放成本变化等，以确认碳管理体系运行的效果；</w:t>
      </w:r>
    </w:p>
    <w:bookmarkEnd w:id="115"/>
    <w:p w14:paraId="566B2BE1">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e</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纠正措施和预防措施的实施状况，以评价组织是否形成了自我改进和自我完善的运行机制，以达到保持体系有效运行和持续改进的目的；</w:t>
      </w:r>
    </w:p>
    <w:p w14:paraId="1D53BA02">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f</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以往管理评审所确定改进措施的实施情况及有效性，以进一步评价自我约束、自我调节和自我完善运行机制的能力；</w:t>
      </w:r>
    </w:p>
    <w:p w14:paraId="6E313174">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g</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有关降低碳排放量、低碳技术和体系改进的建议。</w:t>
      </w:r>
    </w:p>
    <w:p w14:paraId="46F1551F">
      <w:pPr>
        <w:pStyle w:val="169"/>
        <w:bidi w:val="0"/>
        <w:ind w:left="0" w:leftChars="0" w:firstLine="0" w:firstLineChars="0"/>
        <w:rPr>
          <w:rFonts w:hint="eastAsia" w:ascii="Times New Roman" w:hAnsi="Times New Roman" w:cs="Times New Roman"/>
          <w:highlight w:val="none"/>
          <w:lang w:val="en-US" w:eastAsia="zh-CN"/>
        </w:rPr>
      </w:pPr>
      <w:r>
        <w:rPr>
          <w:rFonts w:hint="eastAsia" w:ascii="Times New Roman" w:cs="Times New Roman"/>
          <w:highlight w:val="none"/>
          <w:lang w:val="en-US" w:eastAsia="zh-CN"/>
        </w:rPr>
        <w:t>管理</w:t>
      </w:r>
      <w:r>
        <w:rPr>
          <w:rFonts w:hint="eastAsia" w:ascii="Times New Roman" w:hAnsi="Times New Roman" w:cs="Times New Roman"/>
          <w:highlight w:val="none"/>
          <w:lang w:val="en-US" w:eastAsia="zh-CN"/>
        </w:rPr>
        <w:t>评审输出</w:t>
      </w:r>
    </w:p>
    <w:p w14:paraId="500BD114">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eastAsia" w:ascii="Times New Roman" w:cs="Times New Roman"/>
          <w:sz w:val="21"/>
          <w:szCs w:val="21"/>
          <w:highlight w:val="none"/>
          <w:lang w:val="en-US" w:eastAsia="zh-CN"/>
        </w:rPr>
        <w:t>管理</w:t>
      </w:r>
      <w:r>
        <w:rPr>
          <w:rFonts w:hint="default" w:ascii="Times New Roman" w:hAnsi="Times New Roman" w:eastAsia="宋体" w:cs="Times New Roman"/>
          <w:sz w:val="21"/>
          <w:szCs w:val="21"/>
          <w:highlight w:val="none"/>
          <w:lang w:val="en-US" w:eastAsia="zh-CN"/>
        </w:rPr>
        <w:t>评审输出应包括：</w:t>
      </w:r>
    </w:p>
    <w:p w14:paraId="6BBAFE26">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a</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对企业碳管理体系适宜性、充分性和有效性的总体评价；</w:t>
      </w:r>
    </w:p>
    <w:p w14:paraId="47CE515C">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b</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决定碳管理体系和碳排放水平持续改进的措施，包括提高碳管理绩效、重大低碳技术实施、工艺流程改进等；</w:t>
      </w:r>
    </w:p>
    <w:p w14:paraId="75B7E1E1">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c</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低碳发展战略、碳排放管理方针、目标、指标的变更，以及支持实现碳管理方案变更的重大决策；</w:t>
      </w:r>
    </w:p>
    <w:p w14:paraId="0746D135">
      <w:pPr>
        <w:pStyle w:val="23"/>
        <w:numPr>
          <w:ilvl w:val="0"/>
          <w:numId w:val="0"/>
        </w:numPr>
        <w:ind w:firstLine="420" w:firstLineChars="200"/>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d</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支持碳管理评审输出活动的资源需求。</w:t>
      </w:r>
    </w:p>
    <w:p w14:paraId="3B8AD626">
      <w:pPr>
        <w:pStyle w:val="46"/>
        <w:spacing w:before="312" w:after="312"/>
        <w:rPr>
          <w:rFonts w:hint="default" w:ascii="Times New Roman" w:hAnsi="Times New Roman" w:cs="Times New Roman"/>
          <w:highlight w:val="none"/>
          <w:lang w:val="en-US" w:eastAsia="zh-CN"/>
        </w:rPr>
      </w:pPr>
      <w:bookmarkStart w:id="116" w:name="_Toc18395"/>
      <w:bookmarkStart w:id="117" w:name="_Toc179"/>
      <w:r>
        <w:rPr>
          <w:rFonts w:hint="eastAsia" w:ascii="Times New Roman" w:hAnsi="Times New Roman" w:cs="Times New Roman"/>
          <w:highlight w:val="none"/>
          <w:lang w:val="en-US" w:eastAsia="zh-CN"/>
        </w:rPr>
        <w:t>改进</w:t>
      </w:r>
      <w:bookmarkEnd w:id="116"/>
      <w:bookmarkEnd w:id="117"/>
    </w:p>
    <w:p w14:paraId="36FB9510">
      <w:pPr>
        <w:pStyle w:val="43"/>
        <w:spacing w:before="156" w:after="156"/>
        <w:outlineLvl w:val="9"/>
        <w:rPr>
          <w:rFonts w:hint="default" w:ascii="Times New Roman" w:hAnsi="Times New Roman" w:eastAsia="宋体" w:cs="Times New Roman"/>
          <w:bCs/>
          <w:szCs w:val="22"/>
          <w:highlight w:val="none"/>
          <w:lang w:val="en-US" w:eastAsia="zh-CN"/>
        </w:rPr>
      </w:pPr>
      <w:bookmarkStart w:id="118" w:name="_Toc16696"/>
      <w:r>
        <w:rPr>
          <w:rFonts w:hint="eastAsia" w:ascii="Times New Roman" w:hAnsi="Times New Roman" w:eastAsia="宋体" w:cs="Times New Roman"/>
          <w:bCs/>
          <w:szCs w:val="22"/>
          <w:highlight w:val="none"/>
          <w:lang w:val="en-US" w:eastAsia="zh-CN"/>
        </w:rPr>
        <w:t>不符合和纠正措施</w:t>
      </w:r>
      <w:bookmarkEnd w:id="118"/>
    </w:p>
    <w:p w14:paraId="032805B8">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纠正措施应与实际的严重程度以及碳管理绩效结果相适应。应确保在必要时对碳管理体系进行改进。组织应通过纠正、纠正措施来识别和处理实际的不符合，包括：</w:t>
      </w:r>
    </w:p>
    <w:p w14:paraId="3ECE2623">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a）评审不符合或潜在不符合；</w:t>
      </w:r>
    </w:p>
    <w:p w14:paraId="3C6C5EC9">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b）确定不符合或潜在不符合的原因；</w:t>
      </w:r>
    </w:p>
    <w:p w14:paraId="26FFDDCC">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c）评估采取措施的需求确保不符合不重复发生或不会发生；</w:t>
      </w:r>
    </w:p>
    <w:p w14:paraId="746292F1">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d）制定和实施所需的适宜的措施；</w:t>
      </w:r>
    </w:p>
    <w:p w14:paraId="1BC18B25">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e）保留纠正措施和预防措施的记录；</w:t>
      </w:r>
    </w:p>
    <w:p w14:paraId="10D09C89">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f）评审所采取的纠正措施或预防措施的有效性。</w:t>
      </w:r>
    </w:p>
    <w:p w14:paraId="3F707907">
      <w:pPr>
        <w:pStyle w:val="43"/>
        <w:spacing w:before="156" w:after="156"/>
        <w:outlineLvl w:val="9"/>
        <w:rPr>
          <w:rFonts w:hint="eastAsia" w:ascii="Times New Roman" w:hAnsi="Times New Roman" w:eastAsia="宋体" w:cs="Times New Roman"/>
          <w:bCs/>
          <w:szCs w:val="22"/>
          <w:highlight w:val="none"/>
          <w:lang w:val="en-US" w:eastAsia="zh-CN"/>
        </w:rPr>
      </w:pPr>
      <w:bookmarkStart w:id="119" w:name="_Toc28823"/>
      <w:r>
        <w:rPr>
          <w:rFonts w:hint="eastAsia" w:ascii="Times New Roman" w:hAnsi="Times New Roman" w:eastAsia="宋体" w:cs="Times New Roman"/>
          <w:bCs/>
          <w:szCs w:val="22"/>
          <w:highlight w:val="none"/>
          <w:lang w:val="en-US" w:eastAsia="zh-CN"/>
        </w:rPr>
        <w:t>持续改进</w:t>
      </w:r>
      <w:bookmarkEnd w:id="119"/>
    </w:p>
    <w:p w14:paraId="7C9879C2">
      <w:pPr>
        <w:pStyle w:val="23"/>
        <w:numPr>
          <w:ilvl w:val="0"/>
          <w:numId w:val="0"/>
        </w:numPr>
        <w:ind w:firstLine="420" w:firstLineChars="200"/>
        <w:rPr>
          <w:rFonts w:hint="eastAsia" w:ascii="Times New Roman" w:hAnsi="Times New Roman" w:eastAsia="宋体" w:cs="Times New Roman"/>
          <w:sz w:val="21"/>
          <w:szCs w:val="21"/>
          <w:highlight w:val="none"/>
          <w:lang w:val="en-US" w:eastAsia="zh-CN"/>
        </w:rPr>
      </w:pPr>
      <w:r>
        <w:rPr>
          <w:rFonts w:hint="eastAsia" w:ascii="Times New Roman" w:cs="Times New Roman"/>
          <w:sz w:val="21"/>
          <w:szCs w:val="21"/>
          <w:highlight w:val="none"/>
          <w:lang w:val="en-US" w:eastAsia="zh-CN"/>
        </w:rPr>
        <w:t>组织</w:t>
      </w:r>
      <w:r>
        <w:rPr>
          <w:rFonts w:hint="eastAsia" w:ascii="Times New Roman" w:hAnsi="Times New Roman" w:eastAsia="宋体" w:cs="Times New Roman"/>
          <w:sz w:val="21"/>
          <w:szCs w:val="21"/>
          <w:highlight w:val="none"/>
          <w:lang w:val="en-US" w:eastAsia="zh-CN"/>
        </w:rPr>
        <w:t>应持续改进碳管理体系的适宜性、充分性和有效性。应考虑分析和评价的结果以及管理评审的输出，以确定是否存在需求或机遇，这些需求或机遇应作为持续改进的一部分加以应对。</w:t>
      </w:r>
    </w:p>
    <w:p w14:paraId="0098CB17">
      <w:pPr>
        <w:pStyle w:val="23"/>
        <w:rPr>
          <w:rFonts w:hint="eastAsia"/>
          <w:highlight w:val="none"/>
        </w:rPr>
      </w:pPr>
    </w:p>
    <w:p w14:paraId="03D465B9">
      <w:pPr>
        <w:pStyle w:val="23"/>
        <w:rPr>
          <w:rFonts w:hint="eastAsia"/>
          <w:highlight w:val="none"/>
          <w:lang w:val="en-US" w:eastAsia="zh-CN"/>
        </w:rPr>
      </w:pPr>
    </w:p>
    <w:p w14:paraId="423978E2">
      <w:pPr>
        <w:pStyle w:val="23"/>
        <w:ind w:left="0" w:leftChars="0" w:firstLine="0" w:firstLineChars="0"/>
        <w:jc w:val="center"/>
        <w:rPr>
          <w:rFonts w:hint="default" w:ascii="Times New Roman" w:hAnsi="Times New Roman" w:cs="Times New Roman"/>
          <w:highlight w:val="none"/>
          <w:lang w:val="en-US" w:eastAsia="zh-CN"/>
        </w:rPr>
        <w:sectPr>
          <w:headerReference r:id="rId25" w:type="first"/>
          <w:headerReference r:id="rId23" w:type="default"/>
          <w:footerReference r:id="rId26" w:type="default"/>
          <w:headerReference r:id="rId24" w:type="even"/>
          <w:footerReference r:id="rId27" w:type="even"/>
          <w:pgSz w:w="11906" w:h="16838"/>
          <w:pgMar w:top="1984" w:right="1134" w:bottom="1134" w:left="1418" w:header="1418" w:footer="1134" w:gutter="0"/>
          <w:pgNumType w:start="1"/>
          <w:cols w:space="0" w:num="1"/>
          <w:formProt w:val="0"/>
          <w:docGrid w:type="lines" w:linePitch="312" w:charSpace="0"/>
        </w:sectPr>
      </w:pPr>
    </w:p>
    <w:p w14:paraId="783B9047">
      <w:pPr>
        <w:pStyle w:val="46"/>
        <w:numPr>
          <w:ilvl w:val="0"/>
          <w:numId w:val="0"/>
        </w:numPr>
        <w:spacing w:before="312" w:after="312"/>
        <w:ind w:leftChars="0"/>
        <w:jc w:val="center"/>
        <w:rPr>
          <w:rFonts w:hint="default" w:ascii="Times New Roman" w:hAnsi="Times New Roman" w:cs="Times New Roman"/>
          <w:highlight w:val="none"/>
          <w:lang w:val="en-US" w:eastAsia="zh-CN"/>
        </w:rPr>
      </w:pPr>
      <w:bookmarkStart w:id="120" w:name="_Toc26460"/>
      <w:r>
        <w:rPr>
          <w:rFonts w:hint="default" w:ascii="Times New Roman" w:hAnsi="Times New Roman" w:cs="Times New Roman"/>
          <w:highlight w:val="none"/>
          <w:lang w:val="en-US" w:eastAsia="zh-CN"/>
        </w:rPr>
        <w:t>附  录  A</w:t>
      </w:r>
      <w:bookmarkEnd w:id="120"/>
    </w:p>
    <w:p w14:paraId="66BF28DC">
      <w:pPr>
        <w:pStyle w:val="23"/>
        <w:ind w:left="0" w:leftChars="0" w:firstLine="0" w:firstLineChars="0"/>
        <w:jc w:val="center"/>
        <w:rPr>
          <w:rFonts w:hint="default" w:ascii="Times New Roman" w:hAnsi="Times New Roman" w:eastAsia="宋体" w:cs="Times New Roman"/>
          <w:highlight w:val="none"/>
          <w:lang w:eastAsia="zh-CN"/>
        </w:rPr>
      </w:pP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资料性</w:t>
      </w:r>
      <w:r>
        <w:rPr>
          <w:rFonts w:hint="default" w:ascii="Times New Roman" w:hAnsi="Times New Roman" w:cs="Times New Roman"/>
          <w:highlight w:val="none"/>
          <w:lang w:eastAsia="zh-CN"/>
        </w:rPr>
        <w:t>）</w:t>
      </w:r>
    </w:p>
    <w:p w14:paraId="13F1ECC9">
      <w:pPr>
        <w:pStyle w:val="23"/>
        <w:ind w:left="0" w:leftChars="0" w:firstLine="0" w:firstLineChars="0"/>
        <w:jc w:val="center"/>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碳绩效参数</w:t>
      </w:r>
      <w:r>
        <w:rPr>
          <w:rFonts w:hint="eastAsia" w:ascii="Times New Roman" w:cs="Times New Roman"/>
          <w:highlight w:val="none"/>
          <w:lang w:val="en-US" w:eastAsia="zh-CN"/>
        </w:rPr>
        <w:t>及碳基准</w:t>
      </w:r>
      <w:r>
        <w:rPr>
          <w:rFonts w:hint="default" w:ascii="Times New Roman" w:hAnsi="Times New Roman" w:cs="Times New Roman"/>
          <w:highlight w:val="none"/>
          <w:lang w:val="en-US" w:eastAsia="zh-CN"/>
        </w:rPr>
        <w:t>示例</w:t>
      </w:r>
    </w:p>
    <w:p w14:paraId="7E82DFEA">
      <w:pPr>
        <w:pStyle w:val="23"/>
        <w:numPr>
          <w:ilvl w:val="0"/>
          <w:numId w:val="0"/>
        </w:numPr>
        <w:ind w:firstLine="420" w:firstLineChars="200"/>
        <w:rPr>
          <w:rFonts w:hint="eastAsia" w:ascii="Times New Roman" w:cs="Times New Roman"/>
          <w:sz w:val="21"/>
          <w:szCs w:val="21"/>
          <w:highlight w:val="none"/>
          <w:lang w:val="en-US" w:eastAsia="zh-CN"/>
        </w:rPr>
      </w:pPr>
    </w:p>
    <w:p w14:paraId="3A825DE2">
      <w:pPr>
        <w:pStyle w:val="23"/>
        <w:numPr>
          <w:ilvl w:val="0"/>
          <w:numId w:val="0"/>
        </w:numPr>
        <w:ind w:firstLine="420" w:firstLineChars="200"/>
        <w:rPr>
          <w:rFonts w:hint="eastAsia" w:ascii="Times New Roman" w:cs="Times New Roman"/>
          <w:sz w:val="21"/>
          <w:szCs w:val="21"/>
          <w:highlight w:val="none"/>
          <w:lang w:val="en-US" w:eastAsia="zh-CN"/>
        </w:rPr>
      </w:pPr>
      <w:r>
        <w:rPr>
          <w:rFonts w:hint="eastAsia" w:ascii="Times New Roman" w:cs="Times New Roman"/>
          <w:sz w:val="21"/>
          <w:szCs w:val="21"/>
          <w:highlight w:val="none"/>
          <w:lang w:val="en-US" w:eastAsia="zh-CN"/>
        </w:rPr>
        <w:t>组织可参考选取表A.1中不同层级的碳绩效参数并根据实际运行情况与管理能力设定碳基准值。</w:t>
      </w:r>
    </w:p>
    <w:p w14:paraId="66A9520E">
      <w:pPr>
        <w:pStyle w:val="30"/>
        <w:widowControl/>
        <w:autoSpaceDE w:val="0"/>
        <w:autoSpaceDN w:val="0"/>
        <w:adjustRightInd/>
        <w:spacing w:line="240" w:lineRule="auto"/>
        <w:jc w:val="center"/>
        <w:rPr>
          <w:rFonts w:hint="default" w:eastAsia="黑体"/>
          <w:kern w:val="0"/>
          <w:sz w:val="18"/>
          <w:szCs w:val="18"/>
          <w:lang w:val="en-US" w:eastAsia="zh-CN" w:bidi="ar"/>
        </w:rPr>
      </w:pPr>
      <w:r>
        <w:rPr>
          <w:rFonts w:hint="eastAsia" w:eastAsia="黑体"/>
          <w:kern w:val="0"/>
          <w:sz w:val="18"/>
          <w:szCs w:val="18"/>
          <w:lang w:val="en-US" w:eastAsia="zh-CN" w:bidi="ar"/>
        </w:rPr>
        <w:t>表A.1  可选取参考的碳绩效参数与碳基准</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90"/>
        <w:gridCol w:w="3190"/>
      </w:tblGrid>
      <w:tr w14:paraId="6356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noWrap w:val="0"/>
            <w:vAlign w:val="top"/>
          </w:tcPr>
          <w:p w14:paraId="72D5FA26">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r>
              <w:rPr>
                <w:rFonts w:hint="eastAsia" w:eastAsia="黑体"/>
                <w:kern w:val="0"/>
                <w:sz w:val="18"/>
                <w:szCs w:val="18"/>
                <w:vertAlign w:val="baseline"/>
                <w:lang w:val="en-US" w:eastAsia="zh-CN" w:bidi="ar"/>
              </w:rPr>
              <w:t>层级</w:t>
            </w:r>
          </w:p>
        </w:tc>
        <w:tc>
          <w:tcPr>
            <w:tcW w:w="3190" w:type="dxa"/>
            <w:noWrap w:val="0"/>
            <w:vAlign w:val="top"/>
          </w:tcPr>
          <w:p w14:paraId="3272E9E9">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r>
              <w:rPr>
                <w:rFonts w:hint="eastAsia" w:eastAsia="黑体"/>
                <w:kern w:val="0"/>
                <w:sz w:val="18"/>
                <w:szCs w:val="18"/>
                <w:vertAlign w:val="baseline"/>
                <w:lang w:val="en-US" w:eastAsia="zh-CN" w:bidi="ar"/>
              </w:rPr>
              <w:t>碳绩效参数</w:t>
            </w:r>
          </w:p>
        </w:tc>
        <w:tc>
          <w:tcPr>
            <w:tcW w:w="3190" w:type="dxa"/>
            <w:noWrap w:val="0"/>
            <w:vAlign w:val="top"/>
          </w:tcPr>
          <w:p w14:paraId="7819B374">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r>
              <w:rPr>
                <w:rFonts w:hint="eastAsia" w:eastAsia="黑体"/>
                <w:kern w:val="0"/>
                <w:sz w:val="18"/>
                <w:szCs w:val="18"/>
                <w:vertAlign w:val="baseline"/>
                <w:lang w:val="en-US" w:eastAsia="zh-CN" w:bidi="ar"/>
              </w:rPr>
              <w:t>碳基准</w:t>
            </w:r>
          </w:p>
        </w:tc>
      </w:tr>
      <w:tr w14:paraId="459F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noWrap w:val="0"/>
            <w:vAlign w:val="center"/>
          </w:tcPr>
          <w:p w14:paraId="5FC02CDD">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r>
              <w:rPr>
                <w:rFonts w:hint="eastAsia" w:cs="Times New Roman"/>
                <w:kern w:val="0"/>
                <w:sz w:val="18"/>
                <w:szCs w:val="18"/>
                <w:vertAlign w:val="baseline"/>
                <w:lang w:val="en-US" w:eastAsia="zh-CN" w:bidi="ar"/>
              </w:rPr>
              <w:t>组织层面</w:t>
            </w:r>
          </w:p>
        </w:tc>
        <w:tc>
          <w:tcPr>
            <w:tcW w:w="3190" w:type="dxa"/>
            <w:noWrap w:val="0"/>
            <w:vAlign w:val="top"/>
          </w:tcPr>
          <w:p w14:paraId="1778BF69">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r>
              <w:rPr>
                <w:rFonts w:hint="default" w:ascii="Times New Roman" w:hAnsi="Times New Roman" w:eastAsia="宋体" w:cs="Times New Roman"/>
                <w:kern w:val="0"/>
                <w:sz w:val="18"/>
                <w:szCs w:val="18"/>
                <w:vertAlign w:val="baseline"/>
                <w:lang w:val="en-US" w:eastAsia="zh-CN" w:bidi="ar"/>
              </w:rPr>
              <w:t>温室气体排放量</w:t>
            </w:r>
            <w:r>
              <w:rPr>
                <w:rFonts w:hint="eastAsia" w:cs="Times New Roman"/>
                <w:kern w:val="0"/>
                <w:sz w:val="18"/>
                <w:szCs w:val="18"/>
                <w:vertAlign w:val="baseline"/>
                <w:lang w:val="en-US" w:eastAsia="zh-CN" w:bidi="ar"/>
              </w:rPr>
              <w:t>/</w:t>
            </w:r>
            <w:r>
              <w:rPr>
                <w:rFonts w:hint="default" w:ascii="Times New Roman" w:hAnsi="Times New Roman" w:eastAsia="宋体" w:cs="Times New Roman"/>
                <w:kern w:val="0"/>
                <w:sz w:val="18"/>
                <w:szCs w:val="18"/>
                <w:vertAlign w:val="baseline"/>
                <w:lang w:val="en-US" w:eastAsia="zh-CN" w:bidi="ar"/>
              </w:rPr>
              <w:t>tCO</w:t>
            </w:r>
            <w:r>
              <w:rPr>
                <w:rFonts w:hint="default" w:ascii="Times New Roman" w:hAnsi="Times New Roman" w:eastAsia="宋体" w:cs="Times New Roman"/>
                <w:kern w:val="0"/>
                <w:sz w:val="18"/>
                <w:szCs w:val="18"/>
                <w:vertAlign w:val="subscript"/>
                <w:lang w:val="en-US" w:eastAsia="zh-CN" w:bidi="ar"/>
              </w:rPr>
              <w:t>2</w:t>
            </w:r>
          </w:p>
        </w:tc>
        <w:tc>
          <w:tcPr>
            <w:tcW w:w="3190" w:type="dxa"/>
            <w:noWrap w:val="0"/>
            <w:vAlign w:val="top"/>
          </w:tcPr>
          <w:p w14:paraId="65FCD3CC">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p>
        </w:tc>
      </w:tr>
      <w:tr w14:paraId="2DA8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noWrap w:val="0"/>
            <w:vAlign w:val="center"/>
          </w:tcPr>
          <w:p w14:paraId="1CEC8885">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c>
          <w:tcPr>
            <w:tcW w:w="3190" w:type="dxa"/>
            <w:noWrap w:val="0"/>
            <w:vAlign w:val="top"/>
          </w:tcPr>
          <w:p w14:paraId="495ABE7E">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r>
              <w:rPr>
                <w:rFonts w:hint="eastAsia" w:cs="Times New Roman"/>
                <w:kern w:val="0"/>
                <w:sz w:val="18"/>
                <w:szCs w:val="18"/>
                <w:vertAlign w:val="baseline"/>
                <w:lang w:val="en-US" w:eastAsia="zh-CN" w:bidi="ar"/>
              </w:rPr>
              <w:t>单位产值碳排放量/（</w:t>
            </w:r>
            <w:r>
              <w:rPr>
                <w:rFonts w:hint="default" w:ascii="Times New Roman" w:hAnsi="Times New Roman" w:eastAsia="宋体" w:cs="Times New Roman"/>
                <w:kern w:val="0"/>
                <w:sz w:val="18"/>
                <w:szCs w:val="18"/>
                <w:vertAlign w:val="baseline"/>
                <w:lang w:val="en-US" w:eastAsia="zh-CN" w:bidi="ar"/>
              </w:rPr>
              <w:t>tCO</w:t>
            </w:r>
            <w:r>
              <w:rPr>
                <w:rFonts w:hint="default" w:ascii="Times New Roman" w:hAnsi="Times New Roman" w:eastAsia="宋体" w:cs="Times New Roman"/>
                <w:kern w:val="0"/>
                <w:sz w:val="18"/>
                <w:szCs w:val="18"/>
                <w:vertAlign w:val="subscript"/>
                <w:lang w:val="en-US" w:eastAsia="zh-CN" w:bidi="ar"/>
              </w:rPr>
              <w:t>2</w:t>
            </w:r>
            <w:r>
              <w:rPr>
                <w:rFonts w:hint="default" w:ascii="Times New Roman" w:hAnsi="Times New Roman" w:eastAsia="宋体" w:cs="Times New Roman"/>
                <w:kern w:val="0"/>
                <w:sz w:val="18"/>
                <w:szCs w:val="18"/>
                <w:vertAlign w:val="baseline"/>
                <w:lang w:val="en-US" w:eastAsia="zh-CN" w:bidi="ar"/>
              </w:rPr>
              <w:t>/</w:t>
            </w:r>
            <w:r>
              <w:rPr>
                <w:rFonts w:hint="eastAsia" w:cs="Times New Roman"/>
                <w:kern w:val="0"/>
                <w:sz w:val="18"/>
                <w:szCs w:val="18"/>
                <w:vertAlign w:val="baseline"/>
                <w:lang w:val="en-US" w:eastAsia="zh-CN" w:bidi="ar"/>
              </w:rPr>
              <w:t>万元）</w:t>
            </w:r>
          </w:p>
        </w:tc>
        <w:tc>
          <w:tcPr>
            <w:tcW w:w="3190" w:type="dxa"/>
            <w:noWrap w:val="0"/>
            <w:vAlign w:val="top"/>
          </w:tcPr>
          <w:p w14:paraId="14878A49">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r>
      <w:tr w14:paraId="4F3B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noWrap w:val="0"/>
            <w:vAlign w:val="center"/>
          </w:tcPr>
          <w:p w14:paraId="58A6C958">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c>
          <w:tcPr>
            <w:tcW w:w="3190" w:type="dxa"/>
            <w:noWrap w:val="0"/>
            <w:vAlign w:val="top"/>
          </w:tcPr>
          <w:p w14:paraId="2846D190">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r>
              <w:rPr>
                <w:rFonts w:hint="eastAsia" w:ascii="Times New Roman" w:hAnsi="Times New Roman" w:eastAsia="宋体" w:cs="Times New Roman"/>
                <w:kern w:val="0"/>
                <w:sz w:val="18"/>
                <w:szCs w:val="18"/>
                <w:vertAlign w:val="baseline"/>
                <w:lang w:val="en-US" w:eastAsia="zh-CN" w:bidi="ar"/>
              </w:rPr>
              <w:t>……</w:t>
            </w:r>
          </w:p>
        </w:tc>
        <w:tc>
          <w:tcPr>
            <w:tcW w:w="3190" w:type="dxa"/>
            <w:noWrap w:val="0"/>
            <w:vAlign w:val="top"/>
          </w:tcPr>
          <w:p w14:paraId="231E06C2">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r>
      <w:tr w14:paraId="332C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noWrap w:val="0"/>
            <w:vAlign w:val="center"/>
          </w:tcPr>
          <w:p w14:paraId="7E5250FB">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r>
              <w:rPr>
                <w:rFonts w:hint="eastAsia" w:cs="Times New Roman"/>
                <w:kern w:val="0"/>
                <w:sz w:val="18"/>
                <w:szCs w:val="18"/>
                <w:vertAlign w:val="baseline"/>
                <w:lang w:val="en-US" w:eastAsia="zh-CN" w:bidi="ar"/>
              </w:rPr>
              <w:t>工序层面</w:t>
            </w:r>
          </w:p>
        </w:tc>
        <w:tc>
          <w:tcPr>
            <w:tcW w:w="3190" w:type="dxa"/>
            <w:noWrap w:val="0"/>
            <w:vAlign w:val="top"/>
          </w:tcPr>
          <w:p w14:paraId="4575EB10">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r>
              <w:rPr>
                <w:rFonts w:hint="eastAsia" w:cs="Times New Roman"/>
                <w:kern w:val="0"/>
                <w:sz w:val="18"/>
                <w:szCs w:val="18"/>
                <w:vertAlign w:val="baseline"/>
                <w:lang w:val="en-US" w:eastAsia="zh-CN" w:bidi="ar"/>
              </w:rPr>
              <w:t>烧结工序碳强度/（</w:t>
            </w:r>
            <w:r>
              <w:rPr>
                <w:rFonts w:hint="default" w:ascii="Times New Roman" w:hAnsi="Times New Roman" w:eastAsia="宋体" w:cs="Times New Roman"/>
                <w:kern w:val="0"/>
                <w:sz w:val="18"/>
                <w:szCs w:val="18"/>
                <w:vertAlign w:val="baseline"/>
                <w:lang w:val="en-US" w:eastAsia="zh-CN" w:bidi="ar"/>
              </w:rPr>
              <w:t>tCO</w:t>
            </w:r>
            <w:r>
              <w:rPr>
                <w:rFonts w:hint="default" w:ascii="Times New Roman" w:hAnsi="Times New Roman" w:eastAsia="宋体" w:cs="Times New Roman"/>
                <w:kern w:val="0"/>
                <w:sz w:val="18"/>
                <w:szCs w:val="18"/>
                <w:vertAlign w:val="subscript"/>
                <w:lang w:val="en-US" w:eastAsia="zh-CN" w:bidi="ar"/>
              </w:rPr>
              <w:t>2</w:t>
            </w:r>
            <w:r>
              <w:rPr>
                <w:rFonts w:hint="default" w:ascii="Times New Roman" w:hAnsi="Times New Roman" w:eastAsia="宋体" w:cs="Times New Roman"/>
                <w:kern w:val="0"/>
                <w:sz w:val="18"/>
                <w:szCs w:val="18"/>
                <w:vertAlign w:val="baseline"/>
                <w:lang w:val="en-US" w:eastAsia="zh-CN" w:bidi="ar"/>
              </w:rPr>
              <w:t>/</w:t>
            </w:r>
            <w:r>
              <w:rPr>
                <w:rFonts w:hint="eastAsia" w:cs="Times New Roman"/>
                <w:kern w:val="0"/>
                <w:sz w:val="18"/>
                <w:szCs w:val="18"/>
                <w:vertAlign w:val="baseline"/>
                <w:lang w:val="en-US" w:eastAsia="zh-CN" w:bidi="ar"/>
              </w:rPr>
              <w:t>t烧结）</w:t>
            </w:r>
          </w:p>
        </w:tc>
        <w:tc>
          <w:tcPr>
            <w:tcW w:w="3190" w:type="dxa"/>
            <w:noWrap w:val="0"/>
            <w:vAlign w:val="top"/>
          </w:tcPr>
          <w:p w14:paraId="149E2AA1">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p>
        </w:tc>
      </w:tr>
      <w:tr w14:paraId="3D8D1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noWrap w:val="0"/>
            <w:vAlign w:val="center"/>
          </w:tcPr>
          <w:p w14:paraId="7A8D213D">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c>
          <w:tcPr>
            <w:tcW w:w="3190" w:type="dxa"/>
            <w:noWrap w:val="0"/>
            <w:vAlign w:val="top"/>
          </w:tcPr>
          <w:p w14:paraId="05F34F77">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r>
              <w:rPr>
                <w:rFonts w:hint="eastAsia" w:cs="Times New Roman"/>
                <w:kern w:val="0"/>
                <w:sz w:val="18"/>
                <w:szCs w:val="18"/>
                <w:vertAlign w:val="baseline"/>
                <w:lang w:val="en-US" w:eastAsia="zh-CN" w:bidi="ar"/>
              </w:rPr>
              <w:t>炼铁工序碳强度/（</w:t>
            </w:r>
            <w:r>
              <w:rPr>
                <w:rFonts w:hint="default" w:ascii="Times New Roman" w:hAnsi="Times New Roman" w:eastAsia="宋体" w:cs="Times New Roman"/>
                <w:kern w:val="0"/>
                <w:sz w:val="18"/>
                <w:szCs w:val="18"/>
                <w:vertAlign w:val="baseline"/>
                <w:lang w:val="en-US" w:eastAsia="zh-CN" w:bidi="ar"/>
              </w:rPr>
              <w:t>tCO</w:t>
            </w:r>
            <w:r>
              <w:rPr>
                <w:rFonts w:hint="default" w:ascii="Times New Roman" w:hAnsi="Times New Roman" w:eastAsia="宋体" w:cs="Times New Roman"/>
                <w:kern w:val="0"/>
                <w:sz w:val="18"/>
                <w:szCs w:val="18"/>
                <w:vertAlign w:val="subscript"/>
                <w:lang w:val="en-US" w:eastAsia="zh-CN" w:bidi="ar"/>
              </w:rPr>
              <w:t>2</w:t>
            </w:r>
            <w:r>
              <w:rPr>
                <w:rFonts w:hint="default" w:ascii="Times New Roman" w:hAnsi="Times New Roman" w:eastAsia="宋体" w:cs="Times New Roman"/>
                <w:kern w:val="0"/>
                <w:sz w:val="18"/>
                <w:szCs w:val="18"/>
                <w:vertAlign w:val="baseline"/>
                <w:lang w:val="en-US" w:eastAsia="zh-CN" w:bidi="ar"/>
              </w:rPr>
              <w:t>/</w:t>
            </w:r>
            <w:r>
              <w:rPr>
                <w:rFonts w:hint="eastAsia" w:cs="Times New Roman"/>
                <w:kern w:val="0"/>
                <w:sz w:val="18"/>
                <w:szCs w:val="18"/>
                <w:vertAlign w:val="baseline"/>
                <w:lang w:val="en-US" w:eastAsia="zh-CN" w:bidi="ar"/>
              </w:rPr>
              <w:t>t铁）</w:t>
            </w:r>
          </w:p>
        </w:tc>
        <w:tc>
          <w:tcPr>
            <w:tcW w:w="3190" w:type="dxa"/>
            <w:noWrap w:val="0"/>
            <w:vAlign w:val="top"/>
          </w:tcPr>
          <w:p w14:paraId="173E9642">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r>
      <w:tr w14:paraId="00EE7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noWrap w:val="0"/>
            <w:vAlign w:val="center"/>
          </w:tcPr>
          <w:p w14:paraId="65A842C3">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c>
          <w:tcPr>
            <w:tcW w:w="3190" w:type="dxa"/>
            <w:noWrap w:val="0"/>
            <w:vAlign w:val="top"/>
          </w:tcPr>
          <w:p w14:paraId="057693B3">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r>
              <w:rPr>
                <w:rFonts w:hint="eastAsia" w:ascii="Times New Roman" w:hAnsi="Times New Roman" w:eastAsia="宋体" w:cs="Times New Roman"/>
                <w:kern w:val="0"/>
                <w:sz w:val="18"/>
                <w:szCs w:val="18"/>
                <w:vertAlign w:val="baseline"/>
                <w:lang w:val="en-US" w:eastAsia="zh-CN" w:bidi="ar"/>
              </w:rPr>
              <w:t>……</w:t>
            </w:r>
          </w:p>
        </w:tc>
        <w:tc>
          <w:tcPr>
            <w:tcW w:w="3190" w:type="dxa"/>
            <w:noWrap w:val="0"/>
            <w:vAlign w:val="top"/>
          </w:tcPr>
          <w:p w14:paraId="291F3635">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r>
      <w:tr w14:paraId="20CF0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noWrap w:val="0"/>
            <w:vAlign w:val="center"/>
          </w:tcPr>
          <w:p w14:paraId="4719A01D">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r>
              <w:rPr>
                <w:rFonts w:hint="eastAsia" w:cs="Times New Roman"/>
                <w:kern w:val="0"/>
                <w:sz w:val="18"/>
                <w:szCs w:val="18"/>
                <w:vertAlign w:val="baseline"/>
                <w:lang w:val="en-US" w:eastAsia="zh-CN" w:bidi="ar"/>
              </w:rPr>
              <w:t>产品层面</w:t>
            </w:r>
          </w:p>
        </w:tc>
        <w:tc>
          <w:tcPr>
            <w:tcW w:w="3190" w:type="dxa"/>
            <w:noWrap w:val="0"/>
            <w:vAlign w:val="top"/>
          </w:tcPr>
          <w:p w14:paraId="734B1B83">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r>
              <w:rPr>
                <w:rFonts w:hint="eastAsia" w:cs="Times New Roman"/>
                <w:kern w:val="0"/>
                <w:sz w:val="18"/>
                <w:szCs w:val="18"/>
                <w:vertAlign w:val="baseline"/>
                <w:lang w:val="en-US" w:eastAsia="zh-CN" w:bidi="ar"/>
              </w:rPr>
              <w:t>产品碳足迹/（</w:t>
            </w:r>
            <w:r>
              <w:rPr>
                <w:rFonts w:hint="default" w:ascii="Times New Roman" w:hAnsi="Times New Roman" w:eastAsia="宋体" w:cs="Times New Roman"/>
                <w:kern w:val="0"/>
                <w:sz w:val="18"/>
                <w:szCs w:val="18"/>
                <w:vertAlign w:val="baseline"/>
                <w:lang w:val="en-US" w:eastAsia="zh-CN" w:bidi="ar"/>
              </w:rPr>
              <w:t>tCO</w:t>
            </w:r>
            <w:r>
              <w:rPr>
                <w:rFonts w:hint="default" w:ascii="Times New Roman" w:hAnsi="Times New Roman" w:eastAsia="宋体" w:cs="Times New Roman"/>
                <w:kern w:val="0"/>
                <w:sz w:val="18"/>
                <w:szCs w:val="18"/>
                <w:vertAlign w:val="subscript"/>
                <w:lang w:val="en-US" w:eastAsia="zh-CN" w:bidi="ar"/>
              </w:rPr>
              <w:t>2</w:t>
            </w:r>
            <w:r>
              <w:rPr>
                <w:rFonts w:hint="default" w:ascii="Times New Roman" w:hAnsi="Times New Roman" w:eastAsia="宋体" w:cs="Times New Roman"/>
                <w:kern w:val="0"/>
                <w:sz w:val="18"/>
                <w:szCs w:val="18"/>
                <w:vertAlign w:val="baseline"/>
                <w:lang w:val="en-US" w:eastAsia="zh-CN" w:bidi="ar"/>
              </w:rPr>
              <w:t>/</w:t>
            </w:r>
            <w:r>
              <w:rPr>
                <w:rFonts w:hint="eastAsia" w:cs="Times New Roman"/>
                <w:kern w:val="0"/>
                <w:sz w:val="18"/>
                <w:szCs w:val="18"/>
                <w:vertAlign w:val="baseline"/>
                <w:lang w:val="en-US" w:eastAsia="zh-CN" w:bidi="ar"/>
              </w:rPr>
              <w:t>t产品）</w:t>
            </w:r>
          </w:p>
        </w:tc>
        <w:tc>
          <w:tcPr>
            <w:tcW w:w="3190" w:type="dxa"/>
            <w:noWrap w:val="0"/>
            <w:vAlign w:val="top"/>
          </w:tcPr>
          <w:p w14:paraId="2263B97E">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r>
      <w:tr w14:paraId="1A6A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noWrap w:val="0"/>
            <w:vAlign w:val="center"/>
          </w:tcPr>
          <w:p w14:paraId="6E69D1E2">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c>
          <w:tcPr>
            <w:tcW w:w="3190" w:type="dxa"/>
            <w:noWrap w:val="0"/>
            <w:vAlign w:val="top"/>
          </w:tcPr>
          <w:p w14:paraId="77089908">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r>
              <w:rPr>
                <w:rFonts w:hint="eastAsia" w:cs="Times New Roman"/>
                <w:kern w:val="0"/>
                <w:sz w:val="18"/>
                <w:szCs w:val="18"/>
                <w:vertAlign w:val="baseline"/>
                <w:lang w:val="en-US" w:eastAsia="zh-CN" w:bidi="ar"/>
              </w:rPr>
              <w:t>……</w:t>
            </w:r>
          </w:p>
        </w:tc>
        <w:tc>
          <w:tcPr>
            <w:tcW w:w="3190" w:type="dxa"/>
            <w:noWrap w:val="0"/>
            <w:vAlign w:val="top"/>
          </w:tcPr>
          <w:p w14:paraId="18DEFB0E">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r>
      <w:tr w14:paraId="41D2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restart"/>
            <w:noWrap w:val="0"/>
            <w:vAlign w:val="center"/>
          </w:tcPr>
          <w:p w14:paraId="1577B4F3">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r>
              <w:rPr>
                <w:rFonts w:hint="eastAsia" w:cs="Times New Roman"/>
                <w:kern w:val="0"/>
                <w:sz w:val="18"/>
                <w:szCs w:val="18"/>
                <w:vertAlign w:val="baseline"/>
                <w:lang w:val="en-US" w:eastAsia="zh-CN" w:bidi="ar"/>
              </w:rPr>
              <w:t>技术层面</w:t>
            </w:r>
          </w:p>
        </w:tc>
        <w:tc>
          <w:tcPr>
            <w:tcW w:w="3190" w:type="dxa"/>
            <w:shd w:val="clear" w:color="auto" w:fill="auto"/>
            <w:noWrap w:val="0"/>
            <w:vAlign w:val="top"/>
          </w:tcPr>
          <w:p w14:paraId="0FD304A9">
            <w:pPr>
              <w:pStyle w:val="30"/>
              <w:widowControl/>
              <w:autoSpaceDE w:val="0"/>
              <w:autoSpaceDN w:val="0"/>
              <w:adjustRightInd/>
              <w:spacing w:line="240" w:lineRule="auto"/>
              <w:jc w:val="center"/>
              <w:rPr>
                <w:rFonts w:hint="default" w:ascii="Times New Roman" w:hAnsi="Times New Roman" w:eastAsia="宋体" w:cs="Times New Roman"/>
                <w:kern w:val="0"/>
                <w:sz w:val="18"/>
                <w:szCs w:val="18"/>
                <w:vertAlign w:val="baseline"/>
                <w:lang w:val="en-US" w:eastAsia="zh-CN" w:bidi="ar"/>
              </w:rPr>
            </w:pPr>
            <w:r>
              <w:rPr>
                <w:rFonts w:hint="eastAsia" w:ascii="Times New Roman" w:hAnsi="Times New Roman" w:eastAsia="宋体" w:cs="Times New Roman"/>
                <w:kern w:val="0"/>
                <w:sz w:val="18"/>
                <w:szCs w:val="18"/>
                <w:vertAlign w:val="baseline"/>
                <w:lang w:val="en-US" w:eastAsia="zh-CN" w:bidi="ar"/>
              </w:rPr>
              <w:t>项目的年减排量</w:t>
            </w:r>
            <w:r>
              <w:rPr>
                <w:rFonts w:hint="eastAsia" w:cs="Times New Roman"/>
                <w:kern w:val="0"/>
                <w:sz w:val="18"/>
                <w:szCs w:val="18"/>
                <w:vertAlign w:val="baseline"/>
                <w:lang w:val="en-US" w:eastAsia="zh-CN" w:bidi="ar"/>
              </w:rPr>
              <w:t>/（</w:t>
            </w:r>
            <w:r>
              <w:rPr>
                <w:rFonts w:hint="default" w:ascii="Times New Roman" w:hAnsi="Times New Roman" w:eastAsia="宋体" w:cs="Times New Roman"/>
                <w:kern w:val="0"/>
                <w:sz w:val="18"/>
                <w:szCs w:val="18"/>
                <w:vertAlign w:val="baseline"/>
                <w:lang w:val="en-US" w:eastAsia="zh-CN" w:bidi="ar"/>
              </w:rPr>
              <w:t>tCO</w:t>
            </w:r>
            <w:r>
              <w:rPr>
                <w:rFonts w:hint="default" w:ascii="Times New Roman" w:hAnsi="Times New Roman" w:eastAsia="宋体" w:cs="Times New Roman"/>
                <w:kern w:val="0"/>
                <w:sz w:val="18"/>
                <w:szCs w:val="18"/>
                <w:vertAlign w:val="subscript"/>
                <w:lang w:val="en-US" w:eastAsia="zh-CN" w:bidi="ar"/>
              </w:rPr>
              <w:t>2</w:t>
            </w:r>
            <w:r>
              <w:rPr>
                <w:rFonts w:hint="default" w:ascii="Times New Roman" w:hAnsi="Times New Roman" w:eastAsia="宋体" w:cs="Times New Roman"/>
                <w:kern w:val="0"/>
                <w:sz w:val="18"/>
                <w:szCs w:val="18"/>
                <w:vertAlign w:val="baseline"/>
                <w:lang w:val="en-US" w:eastAsia="zh-CN" w:bidi="ar"/>
              </w:rPr>
              <w:t>/</w:t>
            </w:r>
            <w:r>
              <w:rPr>
                <w:rFonts w:hint="eastAsia" w:cs="Times New Roman"/>
                <w:kern w:val="0"/>
                <w:sz w:val="18"/>
                <w:szCs w:val="18"/>
                <w:vertAlign w:val="baseline"/>
                <w:lang w:val="en-US" w:eastAsia="zh-CN" w:bidi="ar"/>
              </w:rPr>
              <w:t>a）</w:t>
            </w:r>
          </w:p>
        </w:tc>
        <w:tc>
          <w:tcPr>
            <w:tcW w:w="3190" w:type="dxa"/>
            <w:noWrap w:val="0"/>
            <w:vAlign w:val="top"/>
          </w:tcPr>
          <w:p w14:paraId="5E42A297">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r>
      <w:tr w14:paraId="1ED2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Merge w:val="continue"/>
            <w:noWrap w:val="0"/>
            <w:vAlign w:val="top"/>
          </w:tcPr>
          <w:p w14:paraId="73A6CF5E">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c>
          <w:tcPr>
            <w:tcW w:w="3190" w:type="dxa"/>
            <w:shd w:val="clear" w:color="auto" w:fill="auto"/>
            <w:noWrap w:val="0"/>
            <w:vAlign w:val="top"/>
          </w:tcPr>
          <w:p w14:paraId="581B66B4">
            <w:pPr>
              <w:pStyle w:val="30"/>
              <w:widowControl/>
              <w:autoSpaceDE w:val="0"/>
              <w:autoSpaceDN w:val="0"/>
              <w:adjustRightInd/>
              <w:spacing w:line="240" w:lineRule="auto"/>
              <w:jc w:val="center"/>
              <w:rPr>
                <w:rFonts w:hint="eastAsia" w:ascii="Times New Roman" w:hAnsi="Times New Roman" w:eastAsia="宋体" w:cs="Times New Roman"/>
                <w:kern w:val="0"/>
                <w:sz w:val="18"/>
                <w:szCs w:val="18"/>
                <w:vertAlign w:val="baseline"/>
                <w:lang w:val="en-US" w:eastAsia="zh-CN" w:bidi="ar"/>
              </w:rPr>
            </w:pPr>
            <w:r>
              <w:rPr>
                <w:rFonts w:hint="eastAsia" w:cs="Times New Roman"/>
                <w:kern w:val="0"/>
                <w:sz w:val="18"/>
                <w:szCs w:val="18"/>
                <w:vertAlign w:val="baseline"/>
                <w:lang w:val="en-US" w:eastAsia="zh-CN" w:bidi="ar"/>
              </w:rPr>
              <w:t>……</w:t>
            </w:r>
          </w:p>
        </w:tc>
        <w:tc>
          <w:tcPr>
            <w:tcW w:w="3190" w:type="dxa"/>
            <w:noWrap w:val="0"/>
            <w:vAlign w:val="top"/>
          </w:tcPr>
          <w:p w14:paraId="2A3C664A">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p>
        </w:tc>
      </w:tr>
    </w:tbl>
    <w:p w14:paraId="7718AB1C">
      <w:pPr>
        <w:pStyle w:val="23"/>
        <w:numPr>
          <w:ilvl w:val="0"/>
          <w:numId w:val="0"/>
        </w:numPr>
        <w:ind w:firstLine="420" w:firstLineChars="200"/>
        <w:rPr>
          <w:rFonts w:hint="eastAsia" w:ascii="Times New Roman" w:cs="Times New Roman"/>
          <w:sz w:val="21"/>
          <w:szCs w:val="21"/>
          <w:highlight w:val="none"/>
          <w:lang w:val="en-US" w:eastAsia="zh-CN"/>
        </w:rPr>
      </w:pPr>
    </w:p>
    <w:p w14:paraId="58F38E2E">
      <w:pPr>
        <w:pStyle w:val="23"/>
        <w:jc w:val="center"/>
        <w:rPr>
          <w:rFonts w:hint="default" w:ascii="Times New Roman" w:hAnsi="Times New Roman" w:cs="Times New Roman"/>
          <w:highlight w:val="none"/>
          <w:lang w:val="en-US" w:eastAsia="zh-CN"/>
        </w:rPr>
        <w:sectPr>
          <w:pgSz w:w="11906" w:h="16838"/>
          <w:pgMar w:top="1984" w:right="1134" w:bottom="1134" w:left="1418" w:header="1418" w:footer="1134" w:gutter="0"/>
          <w:cols w:space="0" w:num="1"/>
          <w:formProt w:val="0"/>
          <w:docGrid w:type="lines" w:linePitch="312" w:charSpace="0"/>
        </w:sectPr>
      </w:pPr>
    </w:p>
    <w:p w14:paraId="05D0A241">
      <w:pPr>
        <w:pStyle w:val="46"/>
        <w:numPr>
          <w:ilvl w:val="0"/>
          <w:numId w:val="0"/>
        </w:numPr>
        <w:spacing w:before="312" w:after="312"/>
        <w:ind w:leftChars="0"/>
        <w:jc w:val="center"/>
        <w:rPr>
          <w:rFonts w:hint="default" w:ascii="Times New Roman" w:hAnsi="Times New Roman" w:cs="Times New Roman"/>
          <w:highlight w:val="none"/>
          <w:lang w:val="en-US" w:eastAsia="zh-CN"/>
        </w:rPr>
      </w:pPr>
      <w:bookmarkStart w:id="121" w:name="_Toc18187"/>
      <w:r>
        <w:rPr>
          <w:rFonts w:hint="default" w:ascii="Times New Roman" w:hAnsi="Times New Roman" w:cs="Times New Roman"/>
          <w:highlight w:val="none"/>
          <w:lang w:val="en-US" w:eastAsia="zh-CN"/>
        </w:rPr>
        <w:t>附</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录</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B</w:t>
      </w:r>
      <w:bookmarkEnd w:id="121"/>
    </w:p>
    <w:p w14:paraId="5658BC89">
      <w:pPr>
        <w:pStyle w:val="23"/>
        <w:ind w:left="0" w:leftChars="0" w:firstLine="0" w:firstLineChars="0"/>
        <w:jc w:val="center"/>
        <w:rPr>
          <w:rFonts w:hint="default" w:ascii="Times New Roman" w:hAnsi="Times New Roman" w:eastAsia="宋体" w:cs="Times New Roman"/>
          <w:highlight w:val="none"/>
          <w:lang w:eastAsia="zh-CN"/>
        </w:rPr>
      </w:pP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资料性</w:t>
      </w:r>
      <w:r>
        <w:rPr>
          <w:rFonts w:hint="default" w:ascii="Times New Roman" w:hAnsi="Times New Roman" w:cs="Times New Roman"/>
          <w:highlight w:val="none"/>
          <w:lang w:eastAsia="zh-CN"/>
        </w:rPr>
        <w:t>）</w:t>
      </w:r>
    </w:p>
    <w:p w14:paraId="31E7C2BA">
      <w:pPr>
        <w:pStyle w:val="23"/>
        <w:ind w:left="0" w:leftChars="0" w:firstLine="0" w:firstLineChars="0"/>
        <w:jc w:val="center"/>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钢铁企业碳排放数据收集示例</w:t>
      </w:r>
    </w:p>
    <w:p w14:paraId="245F1AD0">
      <w:pPr>
        <w:pStyle w:val="43"/>
        <w:numPr>
          <w:ilvl w:val="1"/>
          <w:numId w:val="0"/>
        </w:numPr>
        <w:spacing w:before="156" w:after="156"/>
        <w:ind w:leftChars="0"/>
        <w:outlineLvl w:val="9"/>
        <w:rPr>
          <w:rFonts w:hint="default" w:ascii="Times New Roman" w:hAnsi="Times New Roman" w:eastAsia="宋体" w:cs="Times New Roman"/>
          <w:bCs/>
          <w:szCs w:val="22"/>
          <w:highlight w:val="none"/>
          <w:lang w:val="en-US" w:eastAsia="zh-CN"/>
        </w:rPr>
      </w:pPr>
      <w:r>
        <w:rPr>
          <w:rFonts w:hint="eastAsia" w:ascii="Times New Roman" w:eastAsia="宋体" w:cs="Times New Roman"/>
          <w:bCs/>
          <w:szCs w:val="22"/>
          <w:highlight w:val="none"/>
          <w:lang w:val="en-US" w:eastAsia="zh-CN"/>
        </w:rPr>
        <w:t xml:space="preserve">B.1 </w:t>
      </w:r>
      <w:r>
        <w:rPr>
          <w:rFonts w:hint="eastAsia" w:ascii="Times New Roman" w:hAnsi="Times New Roman" w:eastAsia="宋体" w:cs="Times New Roman"/>
          <w:bCs/>
          <w:szCs w:val="22"/>
          <w:highlight w:val="none"/>
          <w:lang w:val="en-US" w:eastAsia="zh-CN"/>
        </w:rPr>
        <w:t>烧结工序</w:t>
      </w:r>
      <w:r>
        <w:rPr>
          <w:rFonts w:hint="eastAsia" w:ascii="Times New Roman" w:eastAsia="宋体" w:cs="Times New Roman"/>
          <w:bCs/>
          <w:szCs w:val="22"/>
          <w:highlight w:val="none"/>
          <w:lang w:val="en-US" w:eastAsia="zh-CN"/>
        </w:rPr>
        <w:t>碳排放数据收集表</w:t>
      </w:r>
    </w:p>
    <w:p w14:paraId="67F211CD">
      <w:pPr>
        <w:pStyle w:val="23"/>
        <w:numPr>
          <w:ilvl w:val="0"/>
          <w:numId w:val="0"/>
        </w:numPr>
        <w:ind w:firstLine="420" w:firstLineChars="200"/>
        <w:rPr>
          <w:rFonts w:hint="default" w:ascii="Times New Roman" w:cs="Times New Roman"/>
          <w:sz w:val="21"/>
          <w:szCs w:val="21"/>
          <w:highlight w:val="none"/>
          <w:lang w:val="en-US" w:eastAsia="zh-CN"/>
        </w:rPr>
      </w:pPr>
      <w:r>
        <w:rPr>
          <w:rFonts w:hint="eastAsia" w:ascii="Times New Roman" w:cs="Times New Roman"/>
          <w:sz w:val="21"/>
          <w:szCs w:val="21"/>
          <w:highlight w:val="none"/>
          <w:lang w:val="en-US" w:eastAsia="zh-CN"/>
        </w:rPr>
        <w:t>烧结工序碳排放数据收集表见表B.1。</w:t>
      </w:r>
    </w:p>
    <w:p w14:paraId="793D9651">
      <w:pPr>
        <w:pStyle w:val="30"/>
        <w:widowControl/>
        <w:autoSpaceDE w:val="0"/>
        <w:autoSpaceDN w:val="0"/>
        <w:adjustRightInd/>
        <w:spacing w:line="240" w:lineRule="auto"/>
        <w:jc w:val="center"/>
        <w:rPr>
          <w:rFonts w:hint="default" w:eastAsia="黑体"/>
          <w:kern w:val="0"/>
          <w:sz w:val="18"/>
          <w:szCs w:val="18"/>
          <w:lang w:val="en-US" w:eastAsia="zh-CN" w:bidi="ar"/>
        </w:rPr>
      </w:pPr>
      <w:r>
        <w:rPr>
          <w:rFonts w:hint="eastAsia" w:eastAsia="黑体"/>
          <w:kern w:val="0"/>
          <w:sz w:val="18"/>
          <w:szCs w:val="18"/>
          <w:lang w:val="en-US" w:eastAsia="zh-CN" w:bidi="ar"/>
        </w:rPr>
        <w:t>表B.1  烧结工序碳排放数据收集表</w:t>
      </w:r>
    </w:p>
    <w:tbl>
      <w:tblPr>
        <w:tblStyle w:val="33"/>
        <w:tblW w:w="93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94"/>
        <w:gridCol w:w="3401"/>
        <w:gridCol w:w="1463"/>
        <w:gridCol w:w="2520"/>
      </w:tblGrid>
      <w:tr w14:paraId="05FD8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76F69">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r>
              <w:rPr>
                <w:rFonts w:hint="eastAsia" w:eastAsia="黑体"/>
                <w:kern w:val="0"/>
                <w:sz w:val="18"/>
                <w:szCs w:val="18"/>
                <w:vertAlign w:val="baseline"/>
                <w:lang w:val="en-US" w:eastAsia="zh-CN" w:bidi="ar"/>
              </w:rPr>
              <w:t>类别</w:t>
            </w: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E4691">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名称</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E220D">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单位</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4A864">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数值</w:t>
            </w:r>
          </w:p>
        </w:tc>
      </w:tr>
      <w:tr w14:paraId="45B7F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263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产品</w:t>
            </w: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0FA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烧结矿</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BB4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2372E">
            <w:pPr>
              <w:rPr>
                <w:rFonts w:hint="default" w:ascii="Times New Roman" w:hAnsi="Times New Roman" w:eastAsia="宋体" w:cs="Times New Roman"/>
                <w:i w:val="0"/>
                <w:iCs w:val="0"/>
                <w:color w:val="000000"/>
                <w:sz w:val="18"/>
                <w:szCs w:val="18"/>
                <w:u w:val="none"/>
              </w:rPr>
            </w:pPr>
          </w:p>
        </w:tc>
      </w:tr>
      <w:tr w14:paraId="75F5A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FFF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能源及能源介质</w:t>
            </w: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52E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焦炭</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0F6D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ECC24">
            <w:pPr>
              <w:rPr>
                <w:rFonts w:hint="default" w:ascii="Times New Roman" w:hAnsi="Times New Roman" w:eastAsia="宋体" w:cs="Times New Roman"/>
                <w:i w:val="0"/>
                <w:iCs w:val="0"/>
                <w:color w:val="000000"/>
                <w:sz w:val="18"/>
                <w:szCs w:val="18"/>
                <w:u w:val="none"/>
              </w:rPr>
            </w:pPr>
          </w:p>
        </w:tc>
      </w:tr>
      <w:tr w14:paraId="210CB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62A63">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0C3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无烟煤</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4AEB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F3B4">
            <w:pPr>
              <w:rPr>
                <w:rFonts w:hint="default" w:ascii="Times New Roman" w:hAnsi="Times New Roman" w:eastAsia="宋体" w:cs="Times New Roman"/>
                <w:i w:val="0"/>
                <w:iCs w:val="0"/>
                <w:color w:val="000000"/>
                <w:sz w:val="18"/>
                <w:szCs w:val="18"/>
                <w:u w:val="none"/>
              </w:rPr>
            </w:pPr>
          </w:p>
        </w:tc>
      </w:tr>
      <w:tr w14:paraId="003BB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77D48">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96D5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电</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AD36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万千瓦时</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58657">
            <w:pPr>
              <w:rPr>
                <w:rFonts w:hint="default" w:ascii="Times New Roman" w:hAnsi="Times New Roman" w:eastAsia="宋体" w:cs="Times New Roman"/>
                <w:i w:val="0"/>
                <w:iCs w:val="0"/>
                <w:color w:val="000000"/>
                <w:sz w:val="18"/>
                <w:szCs w:val="18"/>
                <w:u w:val="none"/>
              </w:rPr>
            </w:pPr>
          </w:p>
        </w:tc>
      </w:tr>
      <w:tr w14:paraId="3F6BB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A684E">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D8CE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蒸汽</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46E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90660">
            <w:pPr>
              <w:rPr>
                <w:rFonts w:hint="default" w:ascii="Times New Roman" w:hAnsi="Times New Roman" w:eastAsia="宋体" w:cs="Times New Roman"/>
                <w:i w:val="0"/>
                <w:iCs w:val="0"/>
                <w:color w:val="000000"/>
                <w:sz w:val="18"/>
                <w:szCs w:val="18"/>
                <w:u w:val="none"/>
              </w:rPr>
            </w:pPr>
          </w:p>
        </w:tc>
      </w:tr>
      <w:tr w14:paraId="59482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0B830">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7BF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工业水</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0D8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99111">
            <w:pPr>
              <w:rPr>
                <w:rFonts w:hint="default" w:ascii="Times New Roman" w:hAnsi="Times New Roman" w:eastAsia="宋体" w:cs="Times New Roman"/>
                <w:i w:val="0"/>
                <w:iCs w:val="0"/>
                <w:color w:val="000000"/>
                <w:sz w:val="18"/>
                <w:szCs w:val="18"/>
                <w:u w:val="none"/>
              </w:rPr>
            </w:pPr>
          </w:p>
        </w:tc>
      </w:tr>
      <w:tr w14:paraId="6F7DD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4B243">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BB9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氧气</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00E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37EC8">
            <w:pPr>
              <w:rPr>
                <w:rFonts w:hint="default" w:ascii="Times New Roman" w:hAnsi="Times New Roman" w:eastAsia="宋体" w:cs="Times New Roman"/>
                <w:i w:val="0"/>
                <w:iCs w:val="0"/>
                <w:color w:val="000000"/>
                <w:sz w:val="18"/>
                <w:szCs w:val="18"/>
                <w:u w:val="none"/>
              </w:rPr>
            </w:pPr>
          </w:p>
        </w:tc>
      </w:tr>
      <w:tr w14:paraId="7CD5D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FC7DC">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3BCD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氮气</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BD2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5E45B">
            <w:pPr>
              <w:rPr>
                <w:rFonts w:hint="default" w:ascii="Times New Roman" w:hAnsi="Times New Roman" w:eastAsia="宋体" w:cs="Times New Roman"/>
                <w:i w:val="0"/>
                <w:iCs w:val="0"/>
                <w:color w:val="000000"/>
                <w:sz w:val="18"/>
                <w:szCs w:val="18"/>
                <w:u w:val="none"/>
              </w:rPr>
            </w:pPr>
          </w:p>
        </w:tc>
      </w:tr>
      <w:tr w14:paraId="57EE8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99E47">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2BF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天然气</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001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C1EE5">
            <w:pPr>
              <w:rPr>
                <w:rFonts w:hint="default" w:ascii="Times New Roman" w:hAnsi="Times New Roman" w:eastAsia="宋体" w:cs="Times New Roman"/>
                <w:i w:val="0"/>
                <w:iCs w:val="0"/>
                <w:color w:val="000000"/>
                <w:sz w:val="18"/>
                <w:szCs w:val="18"/>
                <w:u w:val="none"/>
              </w:rPr>
            </w:pPr>
          </w:p>
        </w:tc>
      </w:tr>
      <w:tr w14:paraId="2DE2B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B2EE3">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CB68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高炉煤气</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186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88E25">
            <w:pPr>
              <w:rPr>
                <w:rFonts w:hint="default" w:ascii="Times New Roman" w:hAnsi="Times New Roman" w:eastAsia="宋体" w:cs="Times New Roman"/>
                <w:i w:val="0"/>
                <w:iCs w:val="0"/>
                <w:color w:val="000000"/>
                <w:sz w:val="18"/>
                <w:szCs w:val="18"/>
                <w:u w:val="none"/>
              </w:rPr>
            </w:pPr>
          </w:p>
        </w:tc>
      </w:tr>
      <w:tr w14:paraId="6704C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6C71A">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5B8E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转炉煤气</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753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9FE09">
            <w:pPr>
              <w:rPr>
                <w:rFonts w:hint="default" w:ascii="Times New Roman" w:hAnsi="Times New Roman" w:eastAsia="宋体" w:cs="Times New Roman"/>
                <w:i w:val="0"/>
                <w:iCs w:val="0"/>
                <w:color w:val="000000"/>
                <w:sz w:val="18"/>
                <w:szCs w:val="18"/>
                <w:u w:val="none"/>
              </w:rPr>
            </w:pPr>
          </w:p>
        </w:tc>
      </w:tr>
      <w:tr w14:paraId="46C1F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9C698">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CC17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焦炉煤气</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68C4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759F9">
            <w:pPr>
              <w:rPr>
                <w:rFonts w:hint="default" w:ascii="Times New Roman" w:hAnsi="Times New Roman" w:eastAsia="宋体" w:cs="Times New Roman"/>
                <w:i w:val="0"/>
                <w:iCs w:val="0"/>
                <w:color w:val="000000"/>
                <w:sz w:val="18"/>
                <w:szCs w:val="18"/>
                <w:u w:val="none"/>
              </w:rPr>
            </w:pPr>
          </w:p>
        </w:tc>
      </w:tr>
      <w:tr w14:paraId="0A938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D9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原材料</w:t>
            </w: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BAC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白云石</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E2B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024D2">
            <w:pPr>
              <w:rPr>
                <w:rFonts w:hint="default" w:ascii="Times New Roman" w:hAnsi="Times New Roman" w:eastAsia="宋体" w:cs="Times New Roman"/>
                <w:i w:val="0"/>
                <w:iCs w:val="0"/>
                <w:color w:val="000000"/>
                <w:sz w:val="18"/>
                <w:szCs w:val="18"/>
                <w:u w:val="none"/>
              </w:rPr>
            </w:pPr>
          </w:p>
        </w:tc>
      </w:tr>
      <w:tr w14:paraId="44723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0251C">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73A5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生石灰</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C5A5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8EE1D">
            <w:pPr>
              <w:rPr>
                <w:rFonts w:hint="default" w:ascii="Times New Roman" w:hAnsi="Times New Roman" w:eastAsia="宋体" w:cs="Times New Roman"/>
                <w:i w:val="0"/>
                <w:iCs w:val="0"/>
                <w:color w:val="000000"/>
                <w:sz w:val="18"/>
                <w:szCs w:val="18"/>
                <w:u w:val="none"/>
              </w:rPr>
            </w:pPr>
          </w:p>
        </w:tc>
      </w:tr>
      <w:tr w14:paraId="44DD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C9D6A">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3FE5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石灰石</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1CB6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6A266">
            <w:pPr>
              <w:rPr>
                <w:rFonts w:hint="default" w:ascii="Times New Roman" w:hAnsi="Times New Roman" w:eastAsia="宋体" w:cs="Times New Roman"/>
                <w:i w:val="0"/>
                <w:iCs w:val="0"/>
                <w:color w:val="000000"/>
                <w:sz w:val="18"/>
                <w:szCs w:val="18"/>
                <w:u w:val="none"/>
              </w:rPr>
            </w:pPr>
          </w:p>
        </w:tc>
      </w:tr>
      <w:tr w14:paraId="5EF12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B87E">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5A80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铁矿石（铁精粉）</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ACA5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A535E">
            <w:pPr>
              <w:rPr>
                <w:rFonts w:hint="default" w:ascii="Times New Roman" w:hAnsi="Times New Roman" w:eastAsia="宋体" w:cs="Times New Roman"/>
                <w:i w:val="0"/>
                <w:iCs w:val="0"/>
                <w:color w:val="000000"/>
                <w:sz w:val="18"/>
                <w:szCs w:val="18"/>
                <w:u w:val="none"/>
              </w:rPr>
            </w:pPr>
          </w:p>
        </w:tc>
      </w:tr>
      <w:tr w14:paraId="61A64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4EF3F">
            <w:pPr>
              <w:jc w:val="center"/>
              <w:rPr>
                <w:rFonts w:hint="default" w:ascii="Times New Roman" w:hAnsi="Times New Roman" w:eastAsia="宋体" w:cs="Times New Roman"/>
                <w:i w:val="0"/>
                <w:iCs w:val="0"/>
                <w:color w:val="000000"/>
                <w:sz w:val="18"/>
                <w:szCs w:val="18"/>
                <w:u w:val="none"/>
              </w:rPr>
            </w:pPr>
          </w:p>
        </w:tc>
        <w:tc>
          <w:tcPr>
            <w:tcW w:w="34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DEF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膨润土</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A641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D3E88">
            <w:pPr>
              <w:rPr>
                <w:rFonts w:hint="default" w:ascii="Times New Roman" w:hAnsi="Times New Roman" w:eastAsia="宋体" w:cs="Times New Roman"/>
                <w:i w:val="0"/>
                <w:iCs w:val="0"/>
                <w:color w:val="000000"/>
                <w:sz w:val="18"/>
                <w:szCs w:val="18"/>
                <w:u w:val="none"/>
              </w:rPr>
            </w:pPr>
          </w:p>
        </w:tc>
      </w:tr>
    </w:tbl>
    <w:p w14:paraId="2A1DBC67">
      <w:pPr>
        <w:pStyle w:val="43"/>
        <w:numPr>
          <w:ilvl w:val="1"/>
          <w:numId w:val="0"/>
        </w:numPr>
        <w:spacing w:before="156" w:after="156"/>
        <w:ind w:leftChars="0"/>
        <w:outlineLvl w:val="9"/>
        <w:rPr>
          <w:rFonts w:hint="default" w:ascii="Times New Roman" w:hAnsi="Times New Roman" w:eastAsia="宋体" w:cs="Times New Roman"/>
          <w:bCs/>
          <w:szCs w:val="22"/>
          <w:highlight w:val="none"/>
          <w:lang w:val="en-US" w:eastAsia="zh-CN"/>
        </w:rPr>
      </w:pPr>
      <w:r>
        <w:rPr>
          <w:rFonts w:hint="eastAsia" w:ascii="Times New Roman" w:eastAsia="宋体" w:cs="Times New Roman"/>
          <w:bCs/>
          <w:szCs w:val="22"/>
          <w:highlight w:val="none"/>
          <w:lang w:val="en-US" w:eastAsia="zh-CN"/>
        </w:rPr>
        <w:t>B.2 炼铁</w:t>
      </w:r>
      <w:r>
        <w:rPr>
          <w:rFonts w:hint="eastAsia" w:ascii="Times New Roman" w:hAnsi="Times New Roman" w:eastAsia="宋体" w:cs="Times New Roman"/>
          <w:bCs/>
          <w:szCs w:val="22"/>
          <w:highlight w:val="none"/>
          <w:lang w:val="en-US" w:eastAsia="zh-CN"/>
        </w:rPr>
        <w:t>工序</w:t>
      </w:r>
      <w:r>
        <w:rPr>
          <w:rFonts w:hint="eastAsia" w:ascii="Times New Roman" w:eastAsia="宋体" w:cs="Times New Roman"/>
          <w:bCs/>
          <w:szCs w:val="22"/>
          <w:highlight w:val="none"/>
          <w:lang w:val="en-US" w:eastAsia="zh-CN"/>
        </w:rPr>
        <w:t>碳排放数据收集表</w:t>
      </w:r>
    </w:p>
    <w:p w14:paraId="6269631E">
      <w:pPr>
        <w:pStyle w:val="23"/>
        <w:numPr>
          <w:ilvl w:val="0"/>
          <w:numId w:val="0"/>
        </w:numPr>
        <w:ind w:firstLine="420" w:firstLineChars="200"/>
        <w:rPr>
          <w:rFonts w:hint="default" w:ascii="Times New Roman" w:cs="Times New Roman"/>
          <w:sz w:val="21"/>
          <w:szCs w:val="21"/>
          <w:highlight w:val="none"/>
          <w:lang w:val="en-US" w:eastAsia="zh-CN"/>
        </w:rPr>
      </w:pPr>
      <w:r>
        <w:rPr>
          <w:rFonts w:hint="eastAsia" w:ascii="Times New Roman" w:cs="Times New Roman"/>
          <w:sz w:val="21"/>
          <w:szCs w:val="21"/>
          <w:highlight w:val="none"/>
          <w:lang w:val="en-US" w:eastAsia="zh-CN"/>
        </w:rPr>
        <w:t>炼铁工序碳排放数据收集表见表B.2。</w:t>
      </w:r>
    </w:p>
    <w:p w14:paraId="726077F5">
      <w:pPr>
        <w:pStyle w:val="30"/>
        <w:widowControl/>
        <w:autoSpaceDE w:val="0"/>
        <w:autoSpaceDN w:val="0"/>
        <w:adjustRightInd/>
        <w:spacing w:line="240" w:lineRule="auto"/>
        <w:jc w:val="center"/>
        <w:rPr>
          <w:rFonts w:hint="default" w:eastAsia="黑体"/>
          <w:kern w:val="0"/>
          <w:sz w:val="18"/>
          <w:szCs w:val="18"/>
          <w:lang w:val="en-US" w:eastAsia="zh-CN" w:bidi="ar"/>
        </w:rPr>
      </w:pPr>
      <w:r>
        <w:rPr>
          <w:rFonts w:hint="eastAsia" w:eastAsia="黑体"/>
          <w:kern w:val="0"/>
          <w:sz w:val="18"/>
          <w:szCs w:val="18"/>
          <w:lang w:val="en-US" w:eastAsia="zh-CN" w:bidi="ar"/>
        </w:rPr>
        <w:t>表B.2  炼铁工序碳排放数据收集表</w:t>
      </w:r>
    </w:p>
    <w:tbl>
      <w:tblPr>
        <w:tblStyle w:val="33"/>
        <w:tblW w:w="93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08"/>
        <w:gridCol w:w="3400"/>
        <w:gridCol w:w="1462"/>
        <w:gridCol w:w="2468"/>
      </w:tblGrid>
      <w:tr w14:paraId="08008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trPr>
        <w:tc>
          <w:tcPr>
            <w:tcW w:w="2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27B7C">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r>
              <w:rPr>
                <w:rFonts w:hint="eastAsia" w:eastAsia="黑体"/>
                <w:kern w:val="0"/>
                <w:sz w:val="18"/>
                <w:szCs w:val="18"/>
                <w:vertAlign w:val="baseline"/>
                <w:lang w:val="en-US" w:eastAsia="zh-CN" w:bidi="ar"/>
              </w:rPr>
              <w:t>类别</w:t>
            </w: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2A3E6">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名称</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FA751">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单位</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F6B9">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数值</w:t>
            </w:r>
          </w:p>
        </w:tc>
      </w:tr>
      <w:tr w14:paraId="7589F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2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112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产品</w:t>
            </w: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B8FC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铁水</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504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13EAE">
            <w:pPr>
              <w:rPr>
                <w:rFonts w:hint="default" w:ascii="Times New Roman" w:hAnsi="Times New Roman" w:eastAsia="宋体" w:cs="Times New Roman"/>
                <w:i w:val="0"/>
                <w:iCs w:val="0"/>
                <w:color w:val="000000"/>
                <w:sz w:val="18"/>
                <w:szCs w:val="18"/>
                <w:u w:val="none"/>
              </w:rPr>
            </w:pPr>
          </w:p>
        </w:tc>
      </w:tr>
      <w:tr w14:paraId="1C1C1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trPr>
        <w:tc>
          <w:tcPr>
            <w:tcW w:w="200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23F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能源及能源介质</w:t>
            </w: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AFF9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高炉煤气</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A33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54908">
            <w:pPr>
              <w:rPr>
                <w:rFonts w:hint="default" w:ascii="Times New Roman" w:hAnsi="Times New Roman" w:eastAsia="宋体" w:cs="Times New Roman"/>
                <w:i w:val="0"/>
                <w:iCs w:val="0"/>
                <w:color w:val="000000"/>
                <w:sz w:val="18"/>
                <w:szCs w:val="18"/>
                <w:u w:val="none"/>
              </w:rPr>
            </w:pPr>
          </w:p>
        </w:tc>
      </w:tr>
      <w:tr w14:paraId="5E100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78F82">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AB0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回收高炉煤气</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209F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D79AB">
            <w:pPr>
              <w:rPr>
                <w:rFonts w:hint="default" w:ascii="Times New Roman" w:hAnsi="Times New Roman" w:eastAsia="宋体" w:cs="Times New Roman"/>
                <w:i w:val="0"/>
                <w:iCs w:val="0"/>
                <w:color w:val="000000"/>
                <w:sz w:val="18"/>
                <w:szCs w:val="18"/>
                <w:u w:val="none"/>
              </w:rPr>
            </w:pPr>
          </w:p>
        </w:tc>
      </w:tr>
      <w:tr w14:paraId="31F2C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BE483">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92D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转炉煤气</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F466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58033">
            <w:pPr>
              <w:rPr>
                <w:rFonts w:hint="default" w:ascii="Times New Roman" w:hAnsi="Times New Roman" w:eastAsia="宋体" w:cs="Times New Roman"/>
                <w:i w:val="0"/>
                <w:iCs w:val="0"/>
                <w:color w:val="000000"/>
                <w:sz w:val="18"/>
                <w:szCs w:val="18"/>
                <w:u w:val="none"/>
              </w:rPr>
            </w:pPr>
          </w:p>
        </w:tc>
      </w:tr>
      <w:tr w14:paraId="5A67B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trPr>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45F27">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538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焦炭</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59D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15101">
            <w:pPr>
              <w:rPr>
                <w:rFonts w:hint="default" w:ascii="Times New Roman" w:hAnsi="Times New Roman" w:eastAsia="宋体" w:cs="Times New Roman"/>
                <w:i w:val="0"/>
                <w:iCs w:val="0"/>
                <w:color w:val="000000"/>
                <w:sz w:val="18"/>
                <w:szCs w:val="18"/>
                <w:u w:val="none"/>
              </w:rPr>
            </w:pPr>
          </w:p>
        </w:tc>
      </w:tr>
      <w:tr w14:paraId="582EF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trPr>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74328">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4C2B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煤</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170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5A369">
            <w:pPr>
              <w:rPr>
                <w:rFonts w:hint="default" w:ascii="Times New Roman" w:hAnsi="Times New Roman" w:eastAsia="宋体" w:cs="Times New Roman"/>
                <w:i w:val="0"/>
                <w:iCs w:val="0"/>
                <w:color w:val="000000"/>
                <w:sz w:val="18"/>
                <w:szCs w:val="18"/>
                <w:u w:val="none"/>
              </w:rPr>
            </w:pPr>
          </w:p>
        </w:tc>
      </w:tr>
      <w:tr w14:paraId="6DF26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37931">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7AC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工业水</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0808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A3501">
            <w:pPr>
              <w:rPr>
                <w:rFonts w:hint="default" w:ascii="Times New Roman" w:hAnsi="Times New Roman" w:eastAsia="宋体" w:cs="Times New Roman"/>
                <w:i w:val="0"/>
                <w:iCs w:val="0"/>
                <w:color w:val="000000"/>
                <w:sz w:val="18"/>
                <w:szCs w:val="18"/>
                <w:u w:val="none"/>
              </w:rPr>
            </w:pPr>
          </w:p>
        </w:tc>
      </w:tr>
      <w:tr w14:paraId="01484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87417">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2E66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氧气</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9FD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ECF7E">
            <w:pPr>
              <w:rPr>
                <w:rFonts w:hint="default" w:ascii="Times New Roman" w:hAnsi="Times New Roman" w:eastAsia="宋体" w:cs="Times New Roman"/>
                <w:i w:val="0"/>
                <w:iCs w:val="0"/>
                <w:color w:val="000000"/>
                <w:sz w:val="18"/>
                <w:szCs w:val="18"/>
                <w:u w:val="none"/>
              </w:rPr>
            </w:pPr>
          </w:p>
        </w:tc>
      </w:tr>
      <w:tr w14:paraId="6013C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trPr>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976A0">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CB73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氮气</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5884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EFECC">
            <w:pPr>
              <w:rPr>
                <w:rFonts w:hint="default" w:ascii="Times New Roman" w:hAnsi="Times New Roman" w:eastAsia="宋体" w:cs="Times New Roman"/>
                <w:i w:val="0"/>
                <w:iCs w:val="0"/>
                <w:color w:val="000000"/>
                <w:sz w:val="18"/>
                <w:szCs w:val="18"/>
                <w:u w:val="none"/>
              </w:rPr>
            </w:pPr>
          </w:p>
        </w:tc>
      </w:tr>
      <w:tr w14:paraId="06174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ACA9D">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293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天然气</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A78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805D1">
            <w:pPr>
              <w:rPr>
                <w:rFonts w:hint="default" w:ascii="Times New Roman" w:hAnsi="Times New Roman" w:eastAsia="宋体" w:cs="Times New Roman"/>
                <w:i w:val="0"/>
                <w:iCs w:val="0"/>
                <w:color w:val="000000"/>
                <w:sz w:val="18"/>
                <w:szCs w:val="18"/>
                <w:u w:val="none"/>
              </w:rPr>
            </w:pPr>
          </w:p>
        </w:tc>
      </w:tr>
      <w:tr w14:paraId="0188A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2F6B">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0060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电</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451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万千瓦时</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FBBB0">
            <w:pPr>
              <w:rPr>
                <w:rFonts w:hint="default" w:ascii="Times New Roman" w:hAnsi="Times New Roman" w:eastAsia="宋体" w:cs="Times New Roman"/>
                <w:i w:val="0"/>
                <w:iCs w:val="0"/>
                <w:color w:val="000000"/>
                <w:sz w:val="18"/>
                <w:szCs w:val="18"/>
                <w:u w:val="none"/>
              </w:rPr>
            </w:pPr>
          </w:p>
        </w:tc>
      </w:tr>
      <w:tr w14:paraId="000CC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9ED27">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550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蒸汽</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C019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B07D">
            <w:pPr>
              <w:rPr>
                <w:rFonts w:hint="default" w:ascii="Times New Roman" w:hAnsi="Times New Roman" w:eastAsia="宋体" w:cs="Times New Roman"/>
                <w:i w:val="0"/>
                <w:iCs w:val="0"/>
                <w:color w:val="000000"/>
                <w:sz w:val="18"/>
                <w:szCs w:val="18"/>
                <w:u w:val="none"/>
              </w:rPr>
            </w:pPr>
          </w:p>
        </w:tc>
      </w:tr>
      <w:tr w14:paraId="4AC1D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trPr>
        <w:tc>
          <w:tcPr>
            <w:tcW w:w="2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8B0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原材料</w:t>
            </w: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B19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铁精粉</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076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1C60D">
            <w:pPr>
              <w:rPr>
                <w:rFonts w:hint="default" w:ascii="Times New Roman" w:hAnsi="Times New Roman" w:eastAsia="宋体" w:cs="Times New Roman"/>
                <w:i w:val="0"/>
                <w:iCs w:val="0"/>
                <w:color w:val="000000"/>
                <w:sz w:val="18"/>
                <w:szCs w:val="18"/>
                <w:u w:val="none"/>
              </w:rPr>
            </w:pPr>
          </w:p>
        </w:tc>
      </w:tr>
      <w:tr w14:paraId="41A75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200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4A7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辅助材料</w:t>
            </w: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109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白云石</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9E2D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CB182">
            <w:pPr>
              <w:rPr>
                <w:rFonts w:hint="default" w:ascii="Times New Roman" w:hAnsi="Times New Roman" w:eastAsia="宋体" w:cs="Times New Roman"/>
                <w:i w:val="0"/>
                <w:iCs w:val="0"/>
                <w:color w:val="000000"/>
                <w:sz w:val="18"/>
                <w:szCs w:val="18"/>
                <w:u w:val="none"/>
              </w:rPr>
            </w:pPr>
          </w:p>
        </w:tc>
      </w:tr>
      <w:tr w14:paraId="52477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20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0509F">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F10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石灰石</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1120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CA8B5">
            <w:pPr>
              <w:rPr>
                <w:rFonts w:hint="default" w:ascii="Times New Roman" w:hAnsi="Times New Roman" w:eastAsia="宋体" w:cs="Times New Roman"/>
                <w:i w:val="0"/>
                <w:iCs w:val="0"/>
                <w:color w:val="000000"/>
                <w:sz w:val="18"/>
                <w:szCs w:val="18"/>
                <w:u w:val="none"/>
              </w:rPr>
            </w:pPr>
          </w:p>
        </w:tc>
      </w:tr>
    </w:tbl>
    <w:p w14:paraId="2CF240D2">
      <w:pPr>
        <w:pStyle w:val="43"/>
        <w:numPr>
          <w:ilvl w:val="1"/>
          <w:numId w:val="0"/>
        </w:numPr>
        <w:spacing w:before="156" w:after="156"/>
        <w:ind w:leftChars="0"/>
        <w:outlineLvl w:val="9"/>
        <w:rPr>
          <w:rFonts w:hint="default" w:ascii="Times New Roman" w:hAnsi="Times New Roman" w:eastAsia="宋体" w:cs="Times New Roman"/>
          <w:bCs/>
          <w:szCs w:val="22"/>
          <w:highlight w:val="none"/>
          <w:lang w:val="en-US" w:eastAsia="zh-CN"/>
        </w:rPr>
      </w:pPr>
      <w:r>
        <w:rPr>
          <w:rFonts w:hint="eastAsia" w:ascii="Times New Roman" w:eastAsia="宋体" w:cs="Times New Roman"/>
          <w:bCs/>
          <w:szCs w:val="22"/>
          <w:highlight w:val="none"/>
          <w:lang w:val="en-US" w:eastAsia="zh-CN"/>
        </w:rPr>
        <w:t>B.3 炼钢</w:t>
      </w:r>
      <w:r>
        <w:rPr>
          <w:rFonts w:hint="eastAsia" w:ascii="Times New Roman" w:hAnsi="Times New Roman" w:eastAsia="宋体" w:cs="Times New Roman"/>
          <w:bCs/>
          <w:szCs w:val="22"/>
          <w:highlight w:val="none"/>
          <w:lang w:val="en-US" w:eastAsia="zh-CN"/>
        </w:rPr>
        <w:t>工序</w:t>
      </w:r>
      <w:r>
        <w:rPr>
          <w:rFonts w:hint="eastAsia" w:ascii="Times New Roman" w:eastAsia="宋体" w:cs="Times New Roman"/>
          <w:bCs/>
          <w:szCs w:val="22"/>
          <w:highlight w:val="none"/>
          <w:lang w:val="en-US" w:eastAsia="zh-CN"/>
        </w:rPr>
        <w:t>碳排放数据收集表</w:t>
      </w:r>
    </w:p>
    <w:p w14:paraId="4DB62711">
      <w:pPr>
        <w:pStyle w:val="23"/>
        <w:numPr>
          <w:ilvl w:val="0"/>
          <w:numId w:val="0"/>
        </w:numPr>
        <w:ind w:firstLine="420" w:firstLineChars="200"/>
        <w:rPr>
          <w:rFonts w:hint="default" w:ascii="Times New Roman" w:cs="Times New Roman"/>
          <w:sz w:val="21"/>
          <w:szCs w:val="21"/>
          <w:highlight w:val="none"/>
          <w:lang w:val="en-US" w:eastAsia="zh-CN"/>
        </w:rPr>
      </w:pPr>
      <w:r>
        <w:rPr>
          <w:rFonts w:hint="eastAsia" w:ascii="Times New Roman" w:cs="Times New Roman"/>
          <w:sz w:val="21"/>
          <w:szCs w:val="21"/>
          <w:highlight w:val="none"/>
          <w:lang w:val="en-US" w:eastAsia="zh-CN"/>
        </w:rPr>
        <w:t>炼钢工序碳排放数据收集表见表B.3。</w:t>
      </w:r>
    </w:p>
    <w:p w14:paraId="7C9E5B2D">
      <w:pPr>
        <w:pStyle w:val="30"/>
        <w:widowControl/>
        <w:autoSpaceDE w:val="0"/>
        <w:autoSpaceDN w:val="0"/>
        <w:adjustRightInd/>
        <w:spacing w:line="240" w:lineRule="auto"/>
        <w:jc w:val="center"/>
        <w:rPr>
          <w:rFonts w:hint="default" w:eastAsia="黑体"/>
          <w:kern w:val="0"/>
          <w:sz w:val="18"/>
          <w:szCs w:val="18"/>
          <w:lang w:val="en-US" w:eastAsia="zh-CN" w:bidi="ar"/>
        </w:rPr>
      </w:pPr>
      <w:r>
        <w:rPr>
          <w:rFonts w:hint="eastAsia" w:eastAsia="黑体"/>
          <w:kern w:val="0"/>
          <w:sz w:val="18"/>
          <w:szCs w:val="18"/>
          <w:lang w:val="en-US" w:eastAsia="zh-CN" w:bidi="ar"/>
        </w:rPr>
        <w:t>表B.3  炼钢工序碳排放数据收集表</w:t>
      </w:r>
    </w:p>
    <w:tbl>
      <w:tblPr>
        <w:tblStyle w:val="33"/>
        <w:tblW w:w="925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08"/>
        <w:gridCol w:w="3400"/>
        <w:gridCol w:w="1475"/>
        <w:gridCol w:w="2369"/>
      </w:tblGrid>
      <w:tr w14:paraId="6BCB6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0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88C086">
            <w:pPr>
              <w:pStyle w:val="30"/>
              <w:widowControl/>
              <w:autoSpaceDE w:val="0"/>
              <w:autoSpaceDN w:val="0"/>
              <w:adjustRightInd/>
              <w:spacing w:line="240" w:lineRule="auto"/>
              <w:jc w:val="center"/>
              <w:rPr>
                <w:rFonts w:hint="default" w:eastAsia="黑体"/>
                <w:kern w:val="0"/>
                <w:sz w:val="18"/>
                <w:szCs w:val="18"/>
                <w:vertAlign w:val="baseline"/>
                <w:lang w:val="en-US" w:eastAsia="zh-CN" w:bidi="ar"/>
              </w:rPr>
            </w:pPr>
            <w:r>
              <w:rPr>
                <w:rFonts w:hint="eastAsia" w:eastAsia="黑体"/>
                <w:kern w:val="0"/>
                <w:sz w:val="18"/>
                <w:szCs w:val="18"/>
                <w:vertAlign w:val="baseline"/>
                <w:lang w:val="en-US" w:eastAsia="zh-CN" w:bidi="ar"/>
              </w:rPr>
              <w:t>类别</w:t>
            </w: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378B76">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名称</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CA7AA9">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单位</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F9761F">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数值</w:t>
            </w:r>
          </w:p>
        </w:tc>
      </w:tr>
      <w:tr w14:paraId="08D46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20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5D1F9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产品</w:t>
            </w: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755F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钢水</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44882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108882">
            <w:pPr>
              <w:jc w:val="center"/>
              <w:rPr>
                <w:rFonts w:hint="default" w:ascii="Times New Roman" w:hAnsi="Times New Roman" w:eastAsia="宋体" w:cs="Times New Roman"/>
                <w:i w:val="0"/>
                <w:iCs w:val="0"/>
                <w:color w:val="000000"/>
                <w:sz w:val="18"/>
                <w:szCs w:val="18"/>
                <w:u w:val="none"/>
              </w:rPr>
            </w:pPr>
          </w:p>
        </w:tc>
      </w:tr>
      <w:tr w14:paraId="4A312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200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652F23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能源及能源介质</w:t>
            </w: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8A3A0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氩气</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98623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7419B3">
            <w:pPr>
              <w:jc w:val="center"/>
              <w:rPr>
                <w:rFonts w:hint="default" w:ascii="Times New Roman" w:hAnsi="Times New Roman" w:eastAsia="宋体" w:cs="Times New Roman"/>
                <w:i w:val="0"/>
                <w:iCs w:val="0"/>
                <w:color w:val="000000"/>
                <w:sz w:val="18"/>
                <w:szCs w:val="18"/>
                <w:u w:val="none"/>
              </w:rPr>
            </w:pPr>
          </w:p>
        </w:tc>
      </w:tr>
      <w:tr w14:paraId="0D9D0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615E53A">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6D65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电极</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0979E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C5CB78">
            <w:pPr>
              <w:jc w:val="center"/>
              <w:rPr>
                <w:rFonts w:hint="default" w:ascii="Times New Roman" w:hAnsi="Times New Roman" w:eastAsia="宋体" w:cs="Times New Roman"/>
                <w:i w:val="0"/>
                <w:iCs w:val="0"/>
                <w:color w:val="000000"/>
                <w:sz w:val="18"/>
                <w:szCs w:val="18"/>
                <w:u w:val="none"/>
              </w:rPr>
            </w:pPr>
          </w:p>
        </w:tc>
      </w:tr>
      <w:tr w14:paraId="7246A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EDAF3FB">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0F107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氧气</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0EBDB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586616">
            <w:pPr>
              <w:jc w:val="center"/>
              <w:rPr>
                <w:rFonts w:hint="default" w:ascii="Times New Roman" w:hAnsi="Times New Roman" w:eastAsia="宋体" w:cs="Times New Roman"/>
                <w:i w:val="0"/>
                <w:iCs w:val="0"/>
                <w:color w:val="000000"/>
                <w:sz w:val="18"/>
                <w:szCs w:val="18"/>
                <w:u w:val="none"/>
              </w:rPr>
            </w:pPr>
          </w:p>
        </w:tc>
      </w:tr>
      <w:tr w14:paraId="1265F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DEDEF49">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8F24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氮气</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80A8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A53ADF">
            <w:pPr>
              <w:jc w:val="center"/>
              <w:rPr>
                <w:rFonts w:hint="default" w:ascii="Times New Roman" w:hAnsi="Times New Roman" w:eastAsia="宋体" w:cs="Times New Roman"/>
                <w:i w:val="0"/>
                <w:iCs w:val="0"/>
                <w:color w:val="000000"/>
                <w:sz w:val="18"/>
                <w:szCs w:val="18"/>
                <w:u w:val="none"/>
              </w:rPr>
            </w:pPr>
          </w:p>
        </w:tc>
      </w:tr>
      <w:tr w14:paraId="68B11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932D978">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409B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氢气</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F4B6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53A79B">
            <w:pPr>
              <w:jc w:val="center"/>
              <w:rPr>
                <w:rFonts w:hint="default" w:ascii="Times New Roman" w:hAnsi="Times New Roman" w:eastAsia="宋体" w:cs="Times New Roman"/>
                <w:i w:val="0"/>
                <w:iCs w:val="0"/>
                <w:color w:val="000000"/>
                <w:sz w:val="18"/>
                <w:szCs w:val="18"/>
                <w:u w:val="none"/>
              </w:rPr>
            </w:pPr>
          </w:p>
        </w:tc>
      </w:tr>
      <w:tr w14:paraId="3ECD9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2E6C12A">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B6FA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蒸汽</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22211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061B62">
            <w:pPr>
              <w:jc w:val="center"/>
              <w:rPr>
                <w:rFonts w:hint="default" w:ascii="Times New Roman" w:hAnsi="Times New Roman" w:eastAsia="宋体" w:cs="Times New Roman"/>
                <w:i w:val="0"/>
                <w:iCs w:val="0"/>
                <w:color w:val="000000"/>
                <w:sz w:val="18"/>
                <w:szCs w:val="18"/>
                <w:u w:val="none"/>
              </w:rPr>
            </w:pPr>
          </w:p>
        </w:tc>
      </w:tr>
      <w:tr w14:paraId="21797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090662D">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6EA8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天然气</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C044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044DD1">
            <w:pPr>
              <w:jc w:val="center"/>
              <w:rPr>
                <w:rFonts w:hint="default" w:ascii="Times New Roman" w:hAnsi="Times New Roman" w:eastAsia="宋体" w:cs="Times New Roman"/>
                <w:i w:val="0"/>
                <w:iCs w:val="0"/>
                <w:color w:val="000000"/>
                <w:sz w:val="18"/>
                <w:szCs w:val="18"/>
                <w:u w:val="none"/>
              </w:rPr>
            </w:pPr>
          </w:p>
        </w:tc>
      </w:tr>
      <w:tr w14:paraId="40711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C82D012">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C8C1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电</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F0B6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万千瓦时</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F9A79B">
            <w:pPr>
              <w:jc w:val="center"/>
              <w:rPr>
                <w:rFonts w:hint="default" w:ascii="Times New Roman" w:hAnsi="Times New Roman" w:eastAsia="宋体" w:cs="Times New Roman"/>
                <w:i w:val="0"/>
                <w:iCs w:val="0"/>
                <w:color w:val="000000"/>
                <w:sz w:val="18"/>
                <w:szCs w:val="18"/>
                <w:u w:val="none"/>
              </w:rPr>
            </w:pPr>
          </w:p>
        </w:tc>
      </w:tr>
      <w:tr w14:paraId="29FE3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4A6F77E">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DC2A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工业水</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A0F5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915BE3">
            <w:pPr>
              <w:jc w:val="center"/>
              <w:rPr>
                <w:rFonts w:hint="default" w:ascii="Times New Roman" w:hAnsi="Times New Roman" w:eastAsia="宋体" w:cs="Times New Roman"/>
                <w:i w:val="0"/>
                <w:iCs w:val="0"/>
                <w:color w:val="000000"/>
                <w:sz w:val="18"/>
                <w:szCs w:val="18"/>
                <w:u w:val="none"/>
              </w:rPr>
            </w:pPr>
          </w:p>
        </w:tc>
      </w:tr>
      <w:tr w14:paraId="1E80D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09AA4B7">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9E128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转炉煤气</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F00C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450F4C">
            <w:pPr>
              <w:jc w:val="center"/>
              <w:rPr>
                <w:rFonts w:hint="default" w:ascii="Times New Roman" w:hAnsi="Times New Roman" w:eastAsia="宋体" w:cs="Times New Roman"/>
                <w:i w:val="0"/>
                <w:iCs w:val="0"/>
                <w:color w:val="000000"/>
                <w:sz w:val="18"/>
                <w:szCs w:val="18"/>
                <w:u w:val="none"/>
              </w:rPr>
            </w:pPr>
          </w:p>
        </w:tc>
      </w:tr>
      <w:tr w14:paraId="17D60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FC40DF5">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4A05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高炉煤气</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C2959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4F4B07">
            <w:pPr>
              <w:jc w:val="center"/>
              <w:rPr>
                <w:rFonts w:hint="default" w:ascii="Times New Roman" w:hAnsi="Times New Roman" w:eastAsia="宋体" w:cs="Times New Roman"/>
                <w:i w:val="0"/>
                <w:iCs w:val="0"/>
                <w:color w:val="000000"/>
                <w:sz w:val="18"/>
                <w:szCs w:val="18"/>
                <w:u w:val="none"/>
              </w:rPr>
            </w:pPr>
          </w:p>
        </w:tc>
      </w:tr>
      <w:tr w14:paraId="07D4E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EDF1346">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9011F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回收转炉煤气</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5666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AF15A5">
            <w:pPr>
              <w:jc w:val="center"/>
              <w:rPr>
                <w:rFonts w:hint="default" w:ascii="Times New Roman" w:hAnsi="Times New Roman" w:eastAsia="宋体" w:cs="Times New Roman"/>
                <w:i w:val="0"/>
                <w:iCs w:val="0"/>
                <w:color w:val="000000"/>
                <w:sz w:val="18"/>
                <w:szCs w:val="18"/>
                <w:u w:val="none"/>
              </w:rPr>
            </w:pPr>
          </w:p>
        </w:tc>
      </w:tr>
      <w:tr w14:paraId="222AD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7B5C210">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65ED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焦炭</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E1B3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695252">
            <w:pPr>
              <w:jc w:val="center"/>
              <w:rPr>
                <w:rFonts w:hint="default" w:ascii="Times New Roman" w:hAnsi="Times New Roman" w:eastAsia="宋体" w:cs="Times New Roman"/>
                <w:i w:val="0"/>
                <w:iCs w:val="0"/>
                <w:color w:val="000000"/>
                <w:sz w:val="18"/>
                <w:szCs w:val="18"/>
                <w:u w:val="none"/>
              </w:rPr>
            </w:pPr>
          </w:p>
        </w:tc>
      </w:tr>
      <w:tr w14:paraId="06D5C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00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21EC3E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原材料</w:t>
            </w: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912F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高炉铁水</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A9715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147FF10">
            <w:pPr>
              <w:jc w:val="center"/>
              <w:rPr>
                <w:rFonts w:hint="default" w:ascii="Times New Roman" w:hAnsi="Times New Roman" w:eastAsia="宋体" w:cs="Times New Roman"/>
                <w:i w:val="0"/>
                <w:iCs w:val="0"/>
                <w:color w:val="000000"/>
                <w:sz w:val="18"/>
                <w:szCs w:val="18"/>
                <w:u w:val="none"/>
              </w:rPr>
            </w:pPr>
          </w:p>
        </w:tc>
      </w:tr>
      <w:tr w14:paraId="64E8B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6DD74CF">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E08D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废钢</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19B41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2D7A1D">
            <w:pPr>
              <w:jc w:val="center"/>
              <w:rPr>
                <w:rFonts w:hint="default" w:ascii="Times New Roman" w:hAnsi="Times New Roman" w:eastAsia="宋体" w:cs="Times New Roman"/>
                <w:i w:val="0"/>
                <w:iCs w:val="0"/>
                <w:color w:val="000000"/>
                <w:sz w:val="18"/>
                <w:szCs w:val="18"/>
                <w:u w:val="none"/>
              </w:rPr>
            </w:pPr>
          </w:p>
        </w:tc>
      </w:tr>
      <w:tr w14:paraId="35087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2D35044">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EFB76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锰铁</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5417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4CBF1B">
            <w:pPr>
              <w:jc w:val="center"/>
              <w:rPr>
                <w:rFonts w:hint="default" w:ascii="Times New Roman" w:hAnsi="Times New Roman" w:eastAsia="宋体" w:cs="Times New Roman"/>
                <w:i w:val="0"/>
                <w:iCs w:val="0"/>
                <w:color w:val="000000"/>
                <w:sz w:val="18"/>
                <w:szCs w:val="18"/>
                <w:u w:val="none"/>
              </w:rPr>
            </w:pPr>
          </w:p>
        </w:tc>
      </w:tr>
      <w:tr w14:paraId="150CD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20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27E68B7">
            <w:pPr>
              <w:jc w:val="center"/>
              <w:rPr>
                <w:rFonts w:hint="default" w:ascii="Times New Roman" w:hAnsi="Times New Roman" w:eastAsia="宋体" w:cs="Times New Roman"/>
                <w:i w:val="0"/>
                <w:iCs w:val="0"/>
                <w:color w:val="000000"/>
                <w:sz w:val="18"/>
                <w:szCs w:val="18"/>
                <w:u w:val="none"/>
              </w:rPr>
            </w:pPr>
          </w:p>
        </w:tc>
        <w:tc>
          <w:tcPr>
            <w:tcW w:w="3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2574B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硅铁</w:t>
            </w:r>
          </w:p>
        </w:tc>
        <w:tc>
          <w:tcPr>
            <w:tcW w:w="147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2E40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236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EAED40">
            <w:pPr>
              <w:jc w:val="center"/>
              <w:rPr>
                <w:rFonts w:hint="default" w:ascii="Times New Roman" w:hAnsi="Times New Roman" w:eastAsia="宋体" w:cs="Times New Roman"/>
                <w:i w:val="0"/>
                <w:iCs w:val="0"/>
                <w:color w:val="000000"/>
                <w:sz w:val="18"/>
                <w:szCs w:val="18"/>
                <w:u w:val="none"/>
              </w:rPr>
            </w:pPr>
          </w:p>
        </w:tc>
      </w:tr>
    </w:tbl>
    <w:p w14:paraId="09FC59F7">
      <w:pPr>
        <w:pStyle w:val="43"/>
        <w:numPr>
          <w:ilvl w:val="1"/>
          <w:numId w:val="0"/>
        </w:numPr>
        <w:spacing w:before="156" w:after="156"/>
        <w:ind w:leftChars="0"/>
        <w:outlineLvl w:val="9"/>
        <w:rPr>
          <w:rFonts w:hint="default" w:ascii="Times New Roman" w:hAnsi="Times New Roman" w:eastAsia="宋体" w:cs="Times New Roman"/>
          <w:bCs/>
          <w:szCs w:val="22"/>
          <w:highlight w:val="none"/>
          <w:lang w:val="en-US" w:eastAsia="zh-CN"/>
        </w:rPr>
      </w:pPr>
      <w:r>
        <w:rPr>
          <w:rFonts w:hint="eastAsia" w:ascii="Times New Roman" w:eastAsia="宋体" w:cs="Times New Roman"/>
          <w:bCs/>
          <w:szCs w:val="22"/>
          <w:highlight w:val="none"/>
          <w:lang w:val="en-US" w:eastAsia="zh-CN"/>
        </w:rPr>
        <w:t>B.4 轧钢</w:t>
      </w:r>
      <w:r>
        <w:rPr>
          <w:rFonts w:hint="eastAsia" w:ascii="Times New Roman" w:hAnsi="Times New Roman" w:eastAsia="宋体" w:cs="Times New Roman"/>
          <w:bCs/>
          <w:szCs w:val="22"/>
          <w:highlight w:val="none"/>
          <w:lang w:val="en-US" w:eastAsia="zh-CN"/>
        </w:rPr>
        <w:t>工序</w:t>
      </w:r>
      <w:r>
        <w:rPr>
          <w:rFonts w:hint="eastAsia" w:ascii="Times New Roman" w:eastAsia="宋体" w:cs="Times New Roman"/>
          <w:bCs/>
          <w:szCs w:val="22"/>
          <w:highlight w:val="none"/>
          <w:lang w:val="en-US" w:eastAsia="zh-CN"/>
        </w:rPr>
        <w:t>碳排放数据收集表</w:t>
      </w:r>
    </w:p>
    <w:p w14:paraId="3AB96DAF">
      <w:pPr>
        <w:pStyle w:val="23"/>
        <w:numPr>
          <w:ilvl w:val="0"/>
          <w:numId w:val="0"/>
        </w:numPr>
        <w:ind w:firstLine="420" w:firstLineChars="200"/>
        <w:rPr>
          <w:rFonts w:hint="default" w:ascii="Times New Roman" w:cs="Times New Roman"/>
          <w:sz w:val="21"/>
          <w:szCs w:val="21"/>
          <w:highlight w:val="none"/>
          <w:lang w:val="en-US" w:eastAsia="zh-CN"/>
        </w:rPr>
      </w:pPr>
      <w:r>
        <w:rPr>
          <w:rFonts w:hint="eastAsia" w:ascii="Times New Roman" w:cs="Times New Roman"/>
          <w:sz w:val="21"/>
          <w:szCs w:val="21"/>
          <w:highlight w:val="none"/>
          <w:lang w:val="en-US" w:eastAsia="zh-CN"/>
        </w:rPr>
        <w:t>轧钢工序碳排放数据收集表见表B.4。</w:t>
      </w:r>
    </w:p>
    <w:p w14:paraId="1577AFBB">
      <w:pPr>
        <w:pStyle w:val="30"/>
        <w:widowControl/>
        <w:autoSpaceDE w:val="0"/>
        <w:autoSpaceDN w:val="0"/>
        <w:adjustRightInd/>
        <w:spacing w:line="240" w:lineRule="auto"/>
        <w:jc w:val="center"/>
        <w:rPr>
          <w:rFonts w:hint="default" w:eastAsia="黑体"/>
          <w:kern w:val="0"/>
          <w:sz w:val="18"/>
          <w:szCs w:val="18"/>
          <w:lang w:val="en-US" w:eastAsia="zh-CN" w:bidi="ar"/>
        </w:rPr>
      </w:pPr>
      <w:r>
        <w:rPr>
          <w:rFonts w:hint="eastAsia" w:eastAsia="黑体"/>
          <w:kern w:val="0"/>
          <w:sz w:val="18"/>
          <w:szCs w:val="18"/>
          <w:lang w:val="en-US" w:eastAsia="zh-CN" w:bidi="ar"/>
        </w:rPr>
        <w:t>表B.4  轧钢工序碳排放数据收集表</w:t>
      </w:r>
    </w:p>
    <w:tbl>
      <w:tblPr>
        <w:tblStyle w:val="33"/>
        <w:tblW w:w="935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63"/>
        <w:gridCol w:w="3132"/>
        <w:gridCol w:w="1096"/>
        <w:gridCol w:w="2762"/>
      </w:tblGrid>
      <w:tr w14:paraId="01579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23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EFD69">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类别</w:t>
            </w:r>
          </w:p>
        </w:tc>
        <w:tc>
          <w:tcPr>
            <w:tcW w:w="3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2B844">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名称</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48C76">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单位</w:t>
            </w:r>
          </w:p>
        </w:tc>
        <w:tc>
          <w:tcPr>
            <w:tcW w:w="2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B6CA5">
            <w:pPr>
              <w:pStyle w:val="30"/>
              <w:widowControl/>
              <w:autoSpaceDE w:val="0"/>
              <w:autoSpaceDN w:val="0"/>
              <w:adjustRightInd/>
              <w:spacing w:line="240" w:lineRule="auto"/>
              <w:jc w:val="center"/>
              <w:rPr>
                <w:rFonts w:hint="eastAsia" w:eastAsia="黑体"/>
                <w:kern w:val="0"/>
                <w:sz w:val="18"/>
                <w:szCs w:val="18"/>
                <w:vertAlign w:val="baseline"/>
                <w:lang w:val="en-US" w:eastAsia="zh-CN" w:bidi="ar"/>
              </w:rPr>
            </w:pPr>
            <w:r>
              <w:rPr>
                <w:rFonts w:hint="eastAsia" w:eastAsia="黑体"/>
                <w:kern w:val="0"/>
                <w:sz w:val="18"/>
                <w:szCs w:val="18"/>
                <w:vertAlign w:val="baseline"/>
                <w:lang w:val="en-US" w:eastAsia="zh-CN" w:bidi="ar"/>
              </w:rPr>
              <w:t>数值</w:t>
            </w:r>
          </w:p>
        </w:tc>
      </w:tr>
      <w:tr w14:paraId="3498B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75E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产品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8787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lang w:val="en-US"/>
              </w:rPr>
            </w:pPr>
            <w:r>
              <w:rPr>
                <w:rFonts w:hint="eastAsia" w:cs="Times New Roman"/>
                <w:i w:val="0"/>
                <w:iCs w:val="0"/>
                <w:color w:val="000000"/>
                <w:kern w:val="0"/>
                <w:sz w:val="18"/>
                <w:szCs w:val="18"/>
                <w:u w:val="none"/>
                <w:lang w:val="en-US" w:eastAsia="zh-CN" w:bidi="ar"/>
              </w:rPr>
              <w:t>钢板/钢带/钢筋/型钢等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AA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C8AAE">
            <w:pPr>
              <w:jc w:val="center"/>
              <w:rPr>
                <w:rFonts w:hint="default" w:ascii="Times New Roman" w:hAnsi="Times New Roman" w:eastAsia="宋体" w:cs="Times New Roman"/>
                <w:i w:val="0"/>
                <w:iCs w:val="0"/>
                <w:color w:val="000000"/>
                <w:sz w:val="18"/>
                <w:szCs w:val="18"/>
                <w:u w:val="none"/>
              </w:rPr>
            </w:pPr>
          </w:p>
        </w:tc>
      </w:tr>
      <w:tr w14:paraId="6753B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E8A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能源及能源介质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FF73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高炉煤气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3E5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8E55F">
            <w:pPr>
              <w:jc w:val="center"/>
              <w:rPr>
                <w:rFonts w:hint="default" w:ascii="Times New Roman" w:hAnsi="Times New Roman" w:eastAsia="宋体" w:cs="Times New Roman"/>
                <w:i w:val="0"/>
                <w:iCs w:val="0"/>
                <w:color w:val="000000"/>
                <w:sz w:val="18"/>
                <w:szCs w:val="18"/>
                <w:u w:val="none"/>
              </w:rPr>
            </w:pPr>
          </w:p>
        </w:tc>
      </w:tr>
      <w:tr w14:paraId="00E46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380CC">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E9F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转炉煤气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782B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16E4C">
            <w:pPr>
              <w:jc w:val="center"/>
              <w:rPr>
                <w:rFonts w:hint="default" w:ascii="Times New Roman" w:hAnsi="Times New Roman" w:eastAsia="宋体" w:cs="Times New Roman"/>
                <w:i w:val="0"/>
                <w:iCs w:val="0"/>
                <w:color w:val="000000"/>
                <w:sz w:val="18"/>
                <w:szCs w:val="18"/>
                <w:u w:val="none"/>
              </w:rPr>
            </w:pPr>
          </w:p>
        </w:tc>
      </w:tr>
      <w:tr w14:paraId="1C068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C0F56">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4906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EC5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万千瓦时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ED99C">
            <w:pPr>
              <w:jc w:val="center"/>
              <w:rPr>
                <w:rFonts w:hint="default" w:ascii="Times New Roman" w:hAnsi="Times New Roman" w:eastAsia="宋体" w:cs="Times New Roman"/>
                <w:i w:val="0"/>
                <w:iCs w:val="0"/>
                <w:color w:val="000000"/>
                <w:sz w:val="18"/>
                <w:szCs w:val="18"/>
                <w:u w:val="none"/>
              </w:rPr>
            </w:pPr>
          </w:p>
        </w:tc>
      </w:tr>
      <w:tr w14:paraId="4AF91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17E39">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C56D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蒸汽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436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302CB">
            <w:pPr>
              <w:jc w:val="center"/>
              <w:rPr>
                <w:rFonts w:hint="default" w:ascii="Times New Roman" w:hAnsi="Times New Roman" w:eastAsia="宋体" w:cs="Times New Roman"/>
                <w:i w:val="0"/>
                <w:iCs w:val="0"/>
                <w:color w:val="000000"/>
                <w:sz w:val="18"/>
                <w:szCs w:val="18"/>
                <w:u w:val="none"/>
              </w:rPr>
            </w:pPr>
          </w:p>
        </w:tc>
      </w:tr>
      <w:tr w14:paraId="06257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88048">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AEB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工业水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B68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7FB6B">
            <w:pPr>
              <w:jc w:val="center"/>
              <w:rPr>
                <w:rFonts w:hint="default" w:ascii="Times New Roman" w:hAnsi="Times New Roman" w:eastAsia="宋体" w:cs="Times New Roman"/>
                <w:i w:val="0"/>
                <w:iCs w:val="0"/>
                <w:color w:val="000000"/>
                <w:sz w:val="18"/>
                <w:szCs w:val="18"/>
                <w:u w:val="none"/>
              </w:rPr>
            </w:pPr>
          </w:p>
        </w:tc>
      </w:tr>
      <w:tr w14:paraId="784E2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8CF2D">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F69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氧气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344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A00D1">
            <w:pPr>
              <w:jc w:val="center"/>
              <w:rPr>
                <w:rFonts w:hint="default" w:ascii="Times New Roman" w:hAnsi="Times New Roman" w:eastAsia="宋体" w:cs="Times New Roman"/>
                <w:i w:val="0"/>
                <w:iCs w:val="0"/>
                <w:color w:val="000000"/>
                <w:sz w:val="18"/>
                <w:szCs w:val="18"/>
                <w:u w:val="none"/>
              </w:rPr>
            </w:pPr>
          </w:p>
        </w:tc>
      </w:tr>
      <w:tr w14:paraId="0FD7F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9E0BA">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EDEB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氮气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7FB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千立方米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80AC5">
            <w:pPr>
              <w:jc w:val="center"/>
              <w:rPr>
                <w:rFonts w:hint="default" w:ascii="Times New Roman" w:hAnsi="Times New Roman" w:eastAsia="宋体" w:cs="Times New Roman"/>
                <w:i w:val="0"/>
                <w:iCs w:val="0"/>
                <w:color w:val="000000"/>
                <w:sz w:val="18"/>
                <w:szCs w:val="18"/>
                <w:u w:val="none"/>
              </w:rPr>
            </w:pPr>
          </w:p>
        </w:tc>
      </w:tr>
      <w:tr w14:paraId="19A6B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43F9D">
            <w:pPr>
              <w:jc w:val="center"/>
              <w:rPr>
                <w:rFonts w:hint="default" w:ascii="Times New Roman" w:hAnsi="Times New Roman" w:eastAsia="宋体" w:cs="Times New Roman"/>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C50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柴油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B68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F5AE1">
            <w:pPr>
              <w:jc w:val="center"/>
              <w:rPr>
                <w:rFonts w:hint="default" w:ascii="Times New Roman" w:hAnsi="Times New Roman" w:eastAsia="宋体" w:cs="Times New Roman"/>
                <w:i w:val="0"/>
                <w:iCs w:val="0"/>
                <w:color w:val="000000"/>
                <w:sz w:val="18"/>
                <w:szCs w:val="18"/>
                <w:u w:val="none"/>
              </w:rPr>
            </w:pPr>
          </w:p>
        </w:tc>
      </w:tr>
      <w:tr w14:paraId="3D80F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F7B7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原材料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8286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连铸坯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FEA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9AD24">
            <w:pPr>
              <w:jc w:val="center"/>
              <w:rPr>
                <w:rFonts w:hint="default" w:ascii="Times New Roman" w:hAnsi="Times New Roman" w:eastAsia="宋体" w:cs="Times New Roman"/>
                <w:i w:val="0"/>
                <w:iCs w:val="0"/>
                <w:color w:val="000000"/>
                <w:sz w:val="18"/>
                <w:szCs w:val="18"/>
                <w:u w:val="none"/>
              </w:rPr>
            </w:pPr>
          </w:p>
        </w:tc>
      </w:tr>
    </w:tbl>
    <w:p w14:paraId="1960C17A">
      <w:pPr>
        <w:pStyle w:val="23"/>
        <w:rPr>
          <w:rFonts w:hint="eastAsia"/>
          <w:highlight w:val="none"/>
        </w:rPr>
      </w:pPr>
    </w:p>
    <w:p w14:paraId="6CAF0AD3">
      <w:pPr>
        <w:pStyle w:val="23"/>
        <w:rPr>
          <w:rFonts w:hint="eastAsia"/>
          <w:highlight w:val="none"/>
        </w:rPr>
      </w:pPr>
    </w:p>
    <w:p w14:paraId="1E585BC5">
      <w:pPr>
        <w:pStyle w:val="23"/>
        <w:rPr>
          <w:rFonts w:hint="eastAsia"/>
          <w:highlight w:val="none"/>
          <w:lang w:val="en-US" w:eastAsia="zh-CN"/>
        </w:rPr>
        <w:sectPr>
          <w:pgSz w:w="11906" w:h="16838"/>
          <w:pgMar w:top="1984" w:right="1134" w:bottom="1134" w:left="1418" w:header="1418" w:footer="1134" w:gutter="0"/>
          <w:cols w:space="0" w:num="1"/>
          <w:formProt w:val="0"/>
          <w:docGrid w:type="lines" w:linePitch="312" w:charSpace="0"/>
        </w:sectPr>
      </w:pPr>
    </w:p>
    <w:p w14:paraId="7440EA11">
      <w:pPr>
        <w:pStyle w:val="46"/>
        <w:numPr>
          <w:ilvl w:val="0"/>
          <w:numId w:val="0"/>
        </w:numPr>
        <w:spacing w:before="312" w:after="312"/>
        <w:ind w:leftChars="0"/>
        <w:jc w:val="center"/>
        <w:rPr>
          <w:rFonts w:hint="default"/>
          <w:highlight w:val="none"/>
          <w:lang w:val="en-US" w:eastAsia="zh-CN"/>
        </w:rPr>
      </w:pPr>
      <w:bookmarkStart w:id="122" w:name="_Toc27676"/>
      <w:r>
        <w:rPr>
          <w:rFonts w:hint="eastAsia"/>
          <w:highlight w:val="none"/>
          <w:lang w:val="en-US" w:eastAsia="zh-CN"/>
        </w:rPr>
        <w:t>参 考 文 献</w:t>
      </w:r>
      <w:bookmarkEnd w:id="122"/>
    </w:p>
    <w:p w14:paraId="6F1130A0">
      <w:pPr>
        <w:pStyle w:val="23"/>
        <w:numPr>
          <w:ilvl w:val="0"/>
          <w:numId w:val="18"/>
        </w:numP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《全国碳排放权交易市场覆盖钢铁、水泥、铝冶炼行业工作方案》</w:t>
      </w:r>
    </w:p>
    <w:p w14:paraId="33DAB703">
      <w:pPr>
        <w:pStyle w:val="23"/>
        <w:numPr>
          <w:ilvl w:val="0"/>
          <w:numId w:val="18"/>
        </w:numP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《企业温室气体排放核算与报告指南 钢铁行业》（CETS—AG—03.01—V01—2024）；</w:t>
      </w:r>
    </w:p>
    <w:p w14:paraId="13DC7F55">
      <w:pPr>
        <w:pStyle w:val="23"/>
        <w:numPr>
          <w:ilvl w:val="0"/>
          <w:numId w:val="18"/>
        </w:numPr>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《企业温室气体排放核查技术指南 钢铁行业》（CETS-VG-03.01-V01-2024）；</w:t>
      </w:r>
    </w:p>
    <w:p w14:paraId="293655BD">
      <w:pPr>
        <w:pStyle w:val="23"/>
        <w:rPr>
          <w:rFonts w:hint="eastAsia"/>
          <w:highlight w:val="none"/>
        </w:rPr>
      </w:pPr>
    </w:p>
    <w:p w14:paraId="28080E06">
      <w:pPr>
        <w:widowControl/>
        <w:autoSpaceDE w:val="0"/>
        <w:autoSpaceDN w:val="0"/>
        <w:ind w:firstLine="420" w:firstLineChars="200"/>
        <w:jc w:val="center"/>
        <w:rPr>
          <w:rFonts w:hint="eastAsia" w:hAnsi="宋体" w:cs="宋体"/>
          <w:szCs w:val="21"/>
          <w:highlight w:val="yellow"/>
        </w:rPr>
      </w:pPr>
      <w:r>
        <w:rPr>
          <w:rFonts w:ascii="宋体"/>
          <w:kern w:val="0"/>
          <w:szCs w:val="20"/>
          <w:highlight w:val="none"/>
        </w:rPr>
        <w:t>_________________________________</w:t>
      </w:r>
      <w:bookmarkEnd w:id="3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sectPr>
      <w:pgSz w:w="11906" w:h="16838"/>
      <w:pgMar w:top="1984" w:right="1134" w:bottom="1134" w:left="1418" w:header="1418" w:footer="1134" w:gutter="0"/>
      <w:cols w:space="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BB5EA">
    <w:pPr>
      <w:pStyle w:val="17"/>
    </w:pPr>
    <w:r>
      <w:rPr>
        <w:rFonts w:hint="eastAsia"/>
      </w:rPr>
      <w:t>Ⅱ</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81748">
    <w:pPr>
      <w:pStyle w:val="17"/>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91135" cy="131445"/>
              <wp:effectExtent l="0" t="0" r="0" b="0"/>
              <wp:wrapNone/>
              <wp:docPr id="14" name="文本框 2"/>
              <wp:cNvGraphicFramePr/>
              <a:graphic xmlns:a="http://schemas.openxmlformats.org/drawingml/2006/main">
                <a:graphicData uri="http://schemas.microsoft.com/office/word/2010/wordprocessingShape">
                  <wps:wsp>
                    <wps:cNvSpPr txBox="1"/>
                    <wps:spPr>
                      <a:xfrm>
                        <a:off x="0" y="0"/>
                        <a:ext cx="191135" cy="131445"/>
                      </a:xfrm>
                      <a:prstGeom prst="rect">
                        <a:avLst/>
                      </a:prstGeom>
                      <a:noFill/>
                      <a:ln w="6350">
                        <a:noFill/>
                      </a:ln>
                    </wps:spPr>
                    <wps:txbx>
                      <w:txbxContent>
                        <w:p w14:paraId="7D744943">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0.35pt;width:15.05pt;mso-position-horizontal:outside;mso-position-horizontal-relative:margin;mso-wrap-style:none;z-index:251668480;mso-width-relative:page;mso-height-relative:page;" filled="f" stroked="f" coordsize="21600,21600" o:gfxdata="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WGwb7RAAAAAwEAAA8AAAAAAAAAAQAgAAAAIgAAAGRycy9kb3ducmV2LnhtbFBLAQIUABQA&#10;AAAIAIdO4kCQOLPZMAIAAFQEAAAOAAAAAAAAAAEAIAAAACABAABkcnMvZTJvRG9jLnhtbFBLBQYA&#10;AAAABgAGAFkBAADCBQAAAAA=&#10;">
              <v:fill on="f" focussize="0,0"/>
              <v:stroke on="f" weight="0.5pt"/>
              <v:imagedata o:title=""/>
              <o:lock v:ext="edit" aspectratio="f"/>
              <v:textbox inset="0mm,0mm,0mm,0mm" style="mso-fit-shape-to-text:t;">
                <w:txbxContent>
                  <w:p w14:paraId="7D744943">
                    <w:pPr>
                      <w:pStyle w:val="1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1A2AB">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E1B11">
    <w:pPr>
      <w:pStyle w:val="4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2D84B">
    <w:pPr>
      <w:pStyle w:val="17"/>
      <w:jc w:val="left"/>
    </w:pPr>
    <w:r>
      <w:rPr>
        <w:rFonts w:hint="eastAsia"/>
      </w:rPr>
      <w:t>Ⅱ</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3E8B7">
    <w:pPr>
      <w:pStyle w:val="44"/>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9D292">
    <w:pPr>
      <w:pStyle w:val="1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11A9A">
    <w:pPr>
      <w:pStyle w:val="44"/>
      <w:jc w:val="left"/>
    </w:pPr>
    <w:r>
      <mc:AlternateContent>
        <mc:Choice Requires="wps">
          <w:drawing>
            <wp:anchor distT="0" distB="0" distL="114300" distR="114300" simplePos="0" relativeHeight="251667456" behindDoc="0" locked="0" layoutInCell="1" allowOverlap="1">
              <wp:simplePos x="0" y="0"/>
              <wp:positionH relativeFrom="margin">
                <wp:align>inside</wp:align>
              </wp:positionH>
              <wp:positionV relativeFrom="paragraph">
                <wp:posOffset>0</wp:posOffset>
              </wp:positionV>
              <wp:extent cx="297815" cy="224155"/>
              <wp:effectExtent l="0" t="0" r="0" b="0"/>
              <wp:wrapNone/>
              <wp:docPr id="17" name="文本框 3"/>
              <wp:cNvGraphicFramePr/>
              <a:graphic xmlns:a="http://schemas.openxmlformats.org/drawingml/2006/main">
                <a:graphicData uri="http://schemas.microsoft.com/office/word/2010/wordprocessingShape">
                  <wps:wsp>
                    <wps:cNvSpPr txBox="1"/>
                    <wps:spPr>
                      <a:xfrm>
                        <a:off x="0" y="0"/>
                        <a:ext cx="297815" cy="224155"/>
                      </a:xfrm>
                      <a:prstGeom prst="rect">
                        <a:avLst/>
                      </a:prstGeom>
                      <a:noFill/>
                      <a:ln w="6350">
                        <a:noFill/>
                      </a:ln>
                    </wps:spPr>
                    <wps:txbx>
                      <w:txbxContent>
                        <w:p w14:paraId="5CD34BC0">
                          <w:pPr>
                            <w:pStyle w:val="44"/>
                            <w:jc w:val="left"/>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7.65pt;width:23.45pt;mso-position-horizontal:inside;mso-position-horizontal-relative:margin;mso-wrap-style:none;z-index:251667456;mso-width-relative:page;mso-height-relative:page;" filled="f" stroked="f" coordsize="21600,21600" o:gfxdata="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Hwmh1tIAAAADAQAADwAAAAAAAAABACAAAAAiAAAAZHJzL2Rvd25yZXYueG1sUEsBAhQA&#10;FAAAAAgAh07iQNc/9BoxAgAAVAQAAA4AAAAAAAAAAQAgAAAAIQEAAGRycy9lMm9Eb2MueG1sUEsF&#10;BgAAAAAGAAYAWQEAAMQFAAAAAA==&#10;">
              <v:fill on="f" focussize="0,0"/>
              <v:stroke on="f" weight="0.5pt"/>
              <v:imagedata o:title=""/>
              <o:lock v:ext="edit" aspectratio="f"/>
              <v:textbox inset="0mm,0mm,0mm,0mm" style="mso-fit-shape-to-text:t;">
                <w:txbxContent>
                  <w:p w14:paraId="5CD34BC0">
                    <w:pPr>
                      <w:pStyle w:val="44"/>
                      <w:jc w:val="left"/>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E1690">
    <w:pPr>
      <w:pStyle w:val="17"/>
      <w:jc w:val="left"/>
    </w:pPr>
    <w:r>
      <w:rPr>
        <w:rFonts w:hint="eastAsia"/>
      </w:rPr>
      <w:t>Ⅲ</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17CFC">
    <w:pPr>
      <w:pStyle w:val="44"/>
      <w:spacing w:before="0"/>
      <w:ind w:right="0"/>
      <w:jc w:val="both"/>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91135" cy="131445"/>
              <wp:effectExtent l="0" t="0" r="0" b="0"/>
              <wp:wrapNone/>
              <wp:docPr id="15" name="文本框 1"/>
              <wp:cNvGraphicFramePr/>
              <a:graphic xmlns:a="http://schemas.openxmlformats.org/drawingml/2006/main">
                <a:graphicData uri="http://schemas.microsoft.com/office/word/2010/wordprocessingShape">
                  <wps:wsp>
                    <wps:cNvSpPr txBox="1"/>
                    <wps:spPr>
                      <a:xfrm>
                        <a:off x="0" y="0"/>
                        <a:ext cx="191135" cy="131445"/>
                      </a:xfrm>
                      <a:prstGeom prst="rect">
                        <a:avLst/>
                      </a:prstGeom>
                      <a:noFill/>
                      <a:ln w="6350">
                        <a:noFill/>
                      </a:ln>
                    </wps:spPr>
                    <wps:txbx>
                      <w:txbxContent>
                        <w:p w14:paraId="30FA848D">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0.35pt;width:15.05pt;mso-position-horizontal:outside;mso-position-horizontal-relative:margin;mso-wrap-style:none;z-index:251669504;mso-width-relative:page;mso-height-relative:page;" filled="f" stroked="f" coordsize="21600,21600" o:gfxdata="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BYbBvtEAAAADAQAADwAAAAAAAAABACAAAAAiAAAAZHJzL2Rvd25yZXYueG1sUEsBAhQAFAAA&#10;AAgAh07iQMnYolYvAgAAVAQAAA4AAAAAAAAAAQAgAAAAIAEAAGRycy9lMm9Eb2MueG1sUEsFBgAA&#10;AAAGAAYAWQEAAMEFAAAAAA==&#10;">
              <v:fill on="f" focussize="0,0"/>
              <v:stroke on="f" weight="0.5pt"/>
              <v:imagedata o:title=""/>
              <o:lock v:ext="edit" aspectratio="f"/>
              <v:textbox inset="0mm,0mm,0mm,0mm" style="mso-fit-shape-to-text:t;">
                <w:txbxContent>
                  <w:p w14:paraId="30FA848D">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134F6">
    <w:pPr>
      <w:pStyle w:val="18"/>
    </w:pPr>
    <w:r>
      <w:pict>
        <v:shape id="WordPictureWatermark1151381048" o:spid="_x0000_s2050" o:spt="75" type="#_x0000_t75" style="position:absolute;left:0pt;height:338.9pt;width:339.6pt;mso-position-horizontal:center;mso-position-horizontal-relative:margin;mso-position-vertical:center;mso-position-vertical-relative:margin;z-index:-251643904;mso-width-relative:page;mso-height-relative:page;" filled="f" o:preferrelative="t" stroked="f" coordsize="21600,21600" o:allowincell="f">
          <v:path/>
          <v:fill on="f" focussize="0,0"/>
          <v:stroke on="f" joinstyle="miter"/>
          <v:imagedata r:id="rId1" gain="19661f" blacklevel="22938f" o:title="协会LOGO"/>
          <o:lock v:ext="edit" aspectratio="t"/>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D8655">
    <w:pPr>
      <w:pStyle w:val="18"/>
    </w:pPr>
    <w:r>
      <w:rPr>
        <w:b/>
      </w:rPr>
      <w:pict>
        <v:shape id="WordPictureWatermark1151381057" o:spid="_x0000_s2059" o:spt="75" type="#_x0000_t75" style="position:absolute;left:0pt;height:338.9pt;width:339.6pt;mso-position-horizontal:center;mso-position-horizontal-relative:margin;mso-position-vertical:center;mso-position-vertical-relative:margin;z-index:-251634688;mso-width-relative:page;mso-height-relative:page;" filled="f" o:preferrelative="t" stroked="f" coordsize="21600,21600" o:allowincell="f">
          <v:path/>
          <v:fill on="f" focussize="0,0"/>
          <v:stroke on="f" joinstyle="miter"/>
          <v:imagedata r:id="rId1" gain="19661f" blacklevel="22938f" o:title="协会LOGO"/>
          <o:lock v:ext="edit" aspectratio="t"/>
        </v:shape>
      </w:pict>
    </w:r>
    <w:r>
      <w:rPr>
        <w:b/>
      </w:rPr>
      <w:t>T/</w:t>
    </w:r>
    <w:r>
      <w:rPr>
        <w:rFonts w:hint="eastAsia"/>
        <w:b/>
      </w:rPr>
      <w:t>CCAA XX</w:t>
    </w:r>
    <w:r>
      <w:t>-20</w:t>
    </w:r>
    <w:r>
      <w:rPr>
        <w:rFonts w:hint="eastAsia"/>
      </w:rPr>
      <w:t>2X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23C70">
    <w:pPr>
      <w:pStyle w:val="18"/>
      <w:rPr>
        <w:rFonts w:hint="eastAsia" w:ascii="黑体" w:hAnsi="黑体" w:eastAsia="黑体" w:cs="黑体"/>
        <w:sz w:val="21"/>
        <w:szCs w:val="21"/>
      </w:rPr>
    </w:pPr>
    <w:r>
      <w:rPr>
        <w:rFonts w:hint="eastAsia" w:ascii="黑体" w:hAnsi="黑体" w:eastAsia="黑体" w:cs="黑体"/>
        <w:bCs/>
        <w:sz w:val="21"/>
        <w:szCs w:val="21"/>
      </w:rPr>
      <w:pict>
        <v:shape id="WordPictureWatermark1151381056" o:spid="_x0000_s2060" o:spt="75" type="#_x0000_t75" style="position:absolute;left:0pt;height:338.9pt;width:339.6pt;mso-position-horizontal:center;mso-position-horizontal-relative:margin;mso-position-vertical:center;mso-position-vertical-relative:margin;z-index:-251635712;mso-width-relative:page;mso-height-relative:page;" filled="f" o:preferrelative="t" stroked="f" coordsize="21600,21600" o:allowincell="f">
          <v:path/>
          <v:fill on="f" focussize="0,0"/>
          <v:stroke on="f" joinstyle="miter"/>
          <v:imagedata r:id="rId1" gain="19661f" blacklevel="22938f" o:title="协会LOGO"/>
          <o:lock v:ext="edit" aspectratio="t"/>
        </v:shape>
      </w:pict>
    </w:r>
    <w:r>
      <w:rPr>
        <w:rFonts w:hint="eastAsia" w:ascii="黑体" w:hAnsi="黑体" w:eastAsia="黑体" w:cs="黑体"/>
        <w:bCs/>
        <w:sz w:val="21"/>
        <w:szCs w:val="21"/>
      </w:rPr>
      <w:t xml:space="preserve">T/CCAA </w:t>
    </w:r>
    <w:r>
      <w:rPr>
        <w:rFonts w:ascii="黑体" w:hAnsi="黑体" w:eastAsia="黑体" w:cs="黑体"/>
        <w:bCs/>
        <w:sz w:val="21"/>
        <w:szCs w:val="21"/>
      </w:rPr>
      <w:t>XX</w:t>
    </w:r>
    <w:r>
      <w:rPr>
        <w:rFonts w:hint="eastAsia" w:ascii="黑体" w:hAnsi="黑体" w:eastAsia="黑体" w:cs="黑体"/>
        <w:sz w:val="21"/>
        <w:szCs w:val="21"/>
      </w:rPr>
      <w:t>-202</w:t>
    </w:r>
    <w:r>
      <w:rPr>
        <w:rFonts w:ascii="黑体" w:hAnsi="黑体" w:eastAsia="黑体" w:cs="黑体"/>
        <w:sz w:val="21"/>
        <w:szCs w:val="21"/>
      </w:rPr>
      <w:t>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BE316">
    <w:pPr>
      <w:pStyle w:val="18"/>
    </w:pPr>
    <w:r>
      <w:pict>
        <v:shape id="WordPictureWatermark1151381055" o:spid="_x0000_s2058" o:spt="75" type="#_x0000_t75" style="position:absolute;left:0pt;height:338.9pt;width:339.6pt;mso-position-horizontal:center;mso-position-horizontal-relative:margin;mso-position-vertical:center;mso-position-vertical-relative:margin;z-index:-251636736;mso-width-relative:page;mso-height-relative:page;" filled="f" o:preferrelative="t" stroked="f" coordsize="21600,21600" o:allowincell="f">
          <v:path/>
          <v:fill on="f" focussize="0,0"/>
          <v:stroke on="f" joinstyle="miter"/>
          <v:imagedata r:id="rId1" gain="19661f" blacklevel="22938f" o:title="协会LOGO"/>
          <o:lock v:ext="edit" aspectratio="t"/>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6FDA2">
    <w:pPr>
      <w:pStyle w:val="18"/>
      <w:jc w:val="right"/>
      <w:rPr>
        <w:bCs/>
      </w:rPr>
    </w:pPr>
    <w:r>
      <w:rPr>
        <w:rFonts w:ascii="黑体" w:hAnsi="黑体" w:eastAsia="黑体" w:cs="黑体"/>
        <w:bCs/>
        <w:sz w:val="21"/>
        <w:szCs w:val="21"/>
      </w:rPr>
      <w:pict>
        <v:shape id="WordPictureWatermark1151381060" o:spid="_x0000_s2062" o:spt="75" type="#_x0000_t75" style="position:absolute;left:0pt;height:338.9pt;width:339.6pt;mso-position-horizontal:center;mso-position-horizontal-relative:margin;mso-position-vertical:center;mso-position-vertical-relative:margin;z-index:-251631616;mso-width-relative:page;mso-height-relative:page;" filled="f" o:preferrelative="t" stroked="f" coordsize="21600,21600" o:allowincell="f">
          <v:path/>
          <v:fill on="f" focussize="0,0"/>
          <v:stroke on="f" joinstyle="miter"/>
          <v:imagedata r:id="rId1" gain="19661f" blacklevel="22938f" o:title="协会LOGO"/>
          <o:lock v:ext="edit" aspectratio="t"/>
        </v:shape>
      </w:pict>
    </w:r>
    <w:r>
      <w:rPr>
        <w:rFonts w:hint="eastAsia" w:ascii="黑体" w:hAnsi="黑体" w:eastAsia="黑体" w:cs="黑体"/>
        <w:bCs/>
        <w:sz w:val="21"/>
        <w:szCs w:val="21"/>
      </w:rPr>
      <w:t xml:space="preserve">T/CCAA </w:t>
    </w:r>
    <w:r>
      <w:rPr>
        <w:rFonts w:ascii="黑体" w:hAnsi="黑体" w:eastAsia="黑体" w:cs="黑体"/>
        <w:bCs/>
        <w:sz w:val="21"/>
        <w:szCs w:val="21"/>
      </w:rPr>
      <w:t>XX</w:t>
    </w:r>
    <w:r>
      <w:rPr>
        <w:rFonts w:hint="eastAsia" w:ascii="黑体" w:hAnsi="黑体" w:eastAsia="黑体" w:cs="黑体"/>
        <w:bCs/>
        <w:sz w:val="21"/>
        <w:szCs w:val="21"/>
      </w:rPr>
      <w:t>-202</w:t>
    </w:r>
    <w:r>
      <w:rPr>
        <w:rFonts w:ascii="黑体" w:hAnsi="黑体" w:eastAsia="黑体" w:cs="黑体"/>
        <w:bCs/>
        <w:sz w:val="21"/>
        <w:szCs w:val="21"/>
      </w:rPr>
      <w:t>X</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806BE">
    <w:pPr>
      <w:pStyle w:val="18"/>
    </w:pPr>
    <w:r>
      <w:pict>
        <v:shape id="WordPictureWatermark1151381059" o:spid="_x0000_s2063" o:spt="75" type="#_x0000_t75" style="position:absolute;left:0pt;height:338.9pt;width:339.6pt;mso-position-horizontal:center;mso-position-horizontal-relative:margin;mso-position-vertical:center;mso-position-vertical-relative:margin;z-index:-251632640;mso-width-relative:page;mso-height-relative:page;" filled="f" o:preferrelative="t" stroked="f" coordsize="21600,21600" o:allowincell="f">
          <v:path/>
          <v:fill on="f" focussize="0,0"/>
          <v:stroke on="f" joinstyle="miter"/>
          <v:imagedata r:id="rId1" gain="19661f" blacklevel="22938f" o:title="协会LOGO"/>
          <o:lock v:ext="edit" aspectratio="t"/>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F3BA9">
    <w:pPr>
      <w:pStyle w:val="18"/>
    </w:pPr>
    <w:r>
      <w:pict>
        <v:shape id="WordPictureWatermark1151381058" o:spid="_x0000_s2061" o:spt="75" type="#_x0000_t75" style="position:absolute;left:0pt;height:338.9pt;width:339.6pt;mso-position-horizontal:center;mso-position-horizontal-relative:margin;mso-position-vertical:center;mso-position-vertical-relative:margin;z-index:-251633664;mso-width-relative:page;mso-height-relative:page;" filled="f" o:preferrelative="t" stroked="f" coordsize="21600,21600" o:allowincell="f">
          <v:path/>
          <v:fill on="f" focussize="0,0"/>
          <v:stroke on="f" joinstyle="miter"/>
          <v:imagedata r:id="rId1" gain="19661f" blacklevel="22938f" o:title="协会LOGO"/>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69F14">
    <w:pPr>
      <w:pStyle w:val="18"/>
    </w:pPr>
    <w:r>
      <w:rPr>
        <w:b/>
      </w:rPr>
      <w:pict>
        <v:shape id="WordPictureWatermark1151381047" o:spid="_x0000_s2051" o:spt="75" type="#_x0000_t75" style="position:absolute;left:0pt;height:338.9pt;width:339.6pt;mso-position-horizontal:center;mso-position-horizontal-relative:margin;mso-position-vertical:center;mso-position-vertical-relative:margin;z-index:-251644928;mso-width-relative:page;mso-height-relative:page;" filled="f" o:preferrelative="t" stroked="f" coordsize="21600,21600" o:allowincell="f">
          <v:path/>
          <v:fill on="f" focussize="0,0"/>
          <v:stroke on="f" joinstyle="miter"/>
          <v:imagedata r:id="rId1" gain="19661f" blacklevel="22938f" o:title="协会LOGO"/>
          <o:lock v:ext="edit" aspectratio="t"/>
        </v:shape>
      </w:pict>
    </w:r>
    <w:r>
      <w:rPr>
        <w:b/>
      </w:rPr>
      <w:t>T/</w:t>
    </w:r>
    <w:r>
      <w:rPr>
        <w:rFonts w:hint="eastAsia"/>
        <w:b/>
      </w:rPr>
      <w:t>CCAA 36</w:t>
    </w:r>
    <w:r>
      <w:t>-20</w:t>
    </w:r>
    <w:r>
      <w:rPr>
        <w:rFonts w:hint="eastAsia"/>
      </w:rPr>
      <w:t>20X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00FB2">
    <w:pPr>
      <w:pStyle w:val="18"/>
    </w:pPr>
    <w:r>
      <w:pict>
        <v:shape id="WordPictureWatermark1151381046" o:spid="_x0000_s2049" o:spt="75" type="#_x0000_t75" style="position:absolute;left:0pt;height:338.9pt;width:339.6pt;mso-position-horizontal:center;mso-position-horizontal-relative:margin;mso-position-vertical:center;mso-position-vertical-relative:margin;z-index:-251645952;mso-width-relative:page;mso-height-relative:page;" filled="f" o:preferrelative="t" stroked="f" coordsize="21600,21600" o:allowincell="f">
          <v:path/>
          <v:fill on="f" focussize="0,0"/>
          <v:stroke on="f" joinstyle="miter"/>
          <v:imagedata r:id="rId1" gain="19661f" blacklevel="22938f" o:title="协会LOGO"/>
          <o:lock v:ext="edit" aspectratio="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E384B">
    <w:pPr>
      <w:pStyle w:val="18"/>
      <w:jc w:val="right"/>
    </w:pPr>
    <w:r>
      <w:pict>
        <v:shape id="WordPictureWatermark1151381051" o:spid="_x0000_s2053" o:spt="75" type="#_x0000_t75" style="position:absolute;left:0pt;height:338.9pt;width:339.6pt;mso-position-horizontal:center;mso-position-horizontal-relative:margin;mso-position-vertical:center;mso-position-vertical-relative:margin;z-index:-251640832;mso-width-relative:page;mso-height-relative:page;" filled="f" o:preferrelative="t" stroked="f" coordsize="21600,21600" o:allowincell="f">
          <v:path/>
          <v:fill on="f" focussize="0,0"/>
          <v:stroke on="f" joinstyle="miter"/>
          <v:imagedata r:id="rId1" gain="19661f" blacklevel="22938f" o:title="协会LOGO"/>
          <o:lock v:ext="edit" aspectratio="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E8E06">
    <w:pPr>
      <w:pStyle w:val="18"/>
    </w:pPr>
    <w:r>
      <w:pict>
        <v:shape id="WordPictureWatermark1151381050" o:spid="_x0000_s2054" o:spt="75" type="#_x0000_t75" style="position:absolute;left:0pt;height:338.9pt;width:339.6pt;mso-position-horizontal:center;mso-position-horizontal-relative:margin;mso-position-vertical:center;mso-position-vertical-relative:margin;z-index:-251641856;mso-width-relative:page;mso-height-relative:page;" filled="f" o:preferrelative="t" stroked="f" coordsize="21600,21600" o:allowincell="f">
          <v:path/>
          <v:fill on="f" focussize="0,0"/>
          <v:stroke on="f" joinstyle="miter"/>
          <v:imagedata r:id="rId1" gain="19661f" blacklevel="22938f" o:title="协会LOGO"/>
          <o:lock v:ext="edit" aspectratio="t"/>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32AC5">
    <w:pPr>
      <w:pStyle w:val="18"/>
    </w:pPr>
    <w:r>
      <w:pict>
        <v:shape id="WordPictureWatermark1151381049" o:spid="_x0000_s2052" o:spt="75" type="#_x0000_t75" style="position:absolute;left:0pt;height:338.9pt;width:339.6pt;mso-position-horizontal:center;mso-position-horizontal-relative:margin;mso-position-vertical:center;mso-position-vertical-relative:margin;z-index:-251642880;mso-width-relative:page;mso-height-relative:page;" filled="f" o:preferrelative="t" stroked="f" coordsize="21600,21600" o:allowincell="f">
          <v:path/>
          <v:fill on="f" focussize="0,0"/>
          <v:stroke on="f" joinstyle="miter"/>
          <v:imagedata r:id="rId1" gain="19661f" blacklevel="22938f" o:title="协会LOGO"/>
          <o:lock v:ext="edit" aspectratio="t"/>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1199F">
    <w:pPr>
      <w:pStyle w:val="18"/>
      <w:jc w:val="right"/>
    </w:pPr>
    <w:r>
      <w:rPr>
        <w:b/>
      </w:rPr>
      <w:pict>
        <v:shape id="WordPictureWatermark1151381054" o:spid="_x0000_s2056" o:spt="75" type="#_x0000_t75" style="position:absolute;left:0pt;height:338.9pt;width:339.6pt;mso-position-horizontal:center;mso-position-horizontal-relative:margin;mso-position-vertical:center;mso-position-vertical-relative:margin;z-index:-251637760;mso-width-relative:page;mso-height-relative:page;" filled="f" o:preferrelative="t" stroked="f" coordsize="21600,21600" o:allowincell="f">
          <v:path/>
          <v:fill on="f" focussize="0,0"/>
          <v:stroke on="f" joinstyle="miter"/>
          <v:imagedata r:id="rId1" gain="19661f" blacklevel="22938f" o:title="协会LOGO"/>
          <o:lock v:ext="edit" aspectratio="t"/>
        </v:shape>
      </w:pict>
    </w:r>
    <w:r>
      <w:rPr>
        <w:b/>
      </w:rPr>
      <w:t>T/</w:t>
    </w:r>
    <w:r>
      <w:rPr>
        <w:rFonts w:hint="eastAsia"/>
        <w:b/>
      </w:rPr>
      <w:t>CCAA 36</w:t>
    </w:r>
    <w:r>
      <w:t>-20</w:t>
    </w:r>
    <w:r>
      <w:rPr>
        <w:rFonts w:hint="eastAsia"/>
      </w:rPr>
      <w:t>20X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388E4">
    <w:pPr>
      <w:pStyle w:val="18"/>
    </w:pPr>
    <w:r>
      <w:pict>
        <v:shape id="WordPictureWatermark1151381053" o:spid="_x0000_s2057" o:spt="75" type="#_x0000_t75" style="position:absolute;left:0pt;height:338.9pt;width:339.6pt;mso-position-horizontal:center;mso-position-horizontal-relative:margin;mso-position-vertical:center;mso-position-vertical-relative:margin;z-index:-251638784;mso-width-relative:page;mso-height-relative:page;" filled="f" o:preferrelative="t" stroked="f" coordsize="21600,21600" o:allowincell="f">
          <v:path/>
          <v:fill on="f" focussize="0,0"/>
          <v:stroke on="f" joinstyle="miter"/>
          <v:imagedata r:id="rId1" gain="19661f" blacklevel="22938f" o:title="协会LOGO"/>
          <o:lock v:ext="edit" aspectratio="t"/>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37E1E">
    <w:pPr>
      <w:pStyle w:val="18"/>
    </w:pPr>
    <w:r>
      <w:pict>
        <v:shape id="WordPictureWatermark1151381052" o:spid="_x0000_s2055" o:spt="75" type="#_x0000_t75" style="position:absolute;left:0pt;height:338.9pt;width:339.6pt;mso-position-horizontal:center;mso-position-horizontal-relative:margin;mso-position-vertical:center;mso-position-vertical-relative:margin;z-index:-251639808;mso-width-relative:page;mso-height-relative:page;" filled="f" o:preferrelative="t" stroked="f" coordsize="21600,21600" o:allowincell="f">
          <v:path/>
          <v:fill on="f" focussize="0,0"/>
          <v:stroke on="f" joinstyle="miter"/>
          <v:imagedata r:id="rId1" gain="19661f" blacklevel="22938f" o:title="协会LOGO"/>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B47895"/>
    <w:multiLevelType w:val="singleLevel"/>
    <w:tmpl w:val="F4B47895"/>
    <w:lvl w:ilvl="0" w:tentative="0">
      <w:start w:val="1"/>
      <w:numFmt w:val="decimal"/>
      <w:suff w:val="space"/>
      <w:lvlText w:val="[%1]"/>
      <w:lvlJc w:val="left"/>
    </w:lvl>
  </w:abstractNum>
  <w:abstractNum w:abstractNumId="1">
    <w:nsid w:val="0A952887"/>
    <w:multiLevelType w:val="multilevel"/>
    <w:tmpl w:val="0A952887"/>
    <w:lvl w:ilvl="0" w:tentative="0">
      <w:start w:val="1"/>
      <w:numFmt w:val="decimal"/>
      <w:pStyle w:val="66"/>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
    <w:nsid w:val="0F805D97"/>
    <w:multiLevelType w:val="multilevel"/>
    <w:tmpl w:val="0F805D97"/>
    <w:lvl w:ilvl="0" w:tentative="0">
      <w:start w:val="1"/>
      <w:numFmt w:val="none"/>
      <w:pStyle w:val="58"/>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
    <w:nsid w:val="1FC91163"/>
    <w:multiLevelType w:val="multilevel"/>
    <w:tmpl w:val="1FC91163"/>
    <w:lvl w:ilvl="0" w:tentative="0">
      <w:start w:val="1"/>
      <w:numFmt w:val="decimal"/>
      <w:pStyle w:val="4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6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4B435DB"/>
    <w:multiLevelType w:val="multilevel"/>
    <w:tmpl w:val="24B435DB"/>
    <w:lvl w:ilvl="0" w:tentative="0">
      <w:start w:val="1"/>
      <w:numFmt w:val="lowerLetter"/>
      <w:pStyle w:val="122"/>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29707437"/>
    <w:multiLevelType w:val="multilevel"/>
    <w:tmpl w:val="29707437"/>
    <w:lvl w:ilvl="0" w:tentative="0">
      <w:start w:val="1"/>
      <w:numFmt w:val="none"/>
      <w:pStyle w:val="65"/>
      <w:suff w:val="nothing"/>
      <w:lvlText w:val="%1注："/>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2A8F7113"/>
    <w:multiLevelType w:val="multilevel"/>
    <w:tmpl w:val="2A8F7113"/>
    <w:lvl w:ilvl="0" w:tentative="0">
      <w:start w:val="1"/>
      <w:numFmt w:val="upperLetter"/>
      <w:pStyle w:val="99"/>
      <w:suff w:val="space"/>
      <w:lvlText w:val="%1"/>
      <w:lvlJc w:val="left"/>
      <w:pPr>
        <w:ind w:left="623" w:hanging="425"/>
      </w:pPr>
      <w:rPr>
        <w:rFonts w:hint="eastAsia"/>
      </w:rPr>
    </w:lvl>
    <w:lvl w:ilvl="1" w:tentative="0">
      <w:start w:val="1"/>
      <w:numFmt w:val="decimal"/>
      <w:pStyle w:val="10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9"/>
      <w:suff w:val="nothing"/>
      <w:lvlText w:val="%1——"/>
      <w:lvlJc w:val="left"/>
      <w:pPr>
        <w:ind w:left="833" w:hanging="408"/>
      </w:pPr>
      <w:rPr>
        <w:rFonts w:hint="eastAsia"/>
      </w:rPr>
    </w:lvl>
    <w:lvl w:ilvl="1" w:tentative="0">
      <w:start w:val="1"/>
      <w:numFmt w:val="bullet"/>
      <w:pStyle w:val="50"/>
      <w:lvlText w:val=""/>
      <w:lvlJc w:val="left"/>
      <w:pPr>
        <w:tabs>
          <w:tab w:val="left" w:pos="760"/>
        </w:tabs>
        <w:ind w:left="1264" w:hanging="413"/>
      </w:pPr>
      <w:rPr>
        <w:rFonts w:hint="default" w:ascii="Symbol" w:hAnsi="Symbol"/>
        <w:color w:val="auto"/>
      </w:rPr>
    </w:lvl>
    <w:lvl w:ilvl="2" w:tentative="0">
      <w:start w:val="1"/>
      <w:numFmt w:val="bullet"/>
      <w:pStyle w:val="6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pStyle w:val="170"/>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6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5"/>
      <w:lvlText w:val="%2)"/>
      <w:lvlJc w:val="left"/>
      <w:pPr>
        <w:tabs>
          <w:tab w:val="left" w:pos="1260"/>
        </w:tabs>
        <w:ind w:left="1259" w:hanging="419"/>
      </w:pPr>
      <w:rPr>
        <w:rFonts w:hint="eastAsia"/>
      </w:rPr>
    </w:lvl>
    <w:lvl w:ilvl="2" w:tentative="0">
      <w:start w:val="1"/>
      <w:numFmt w:val="decimal"/>
      <w:pStyle w:val="62"/>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520F62E9"/>
    <w:multiLevelType w:val="multilevel"/>
    <w:tmpl w:val="520F62E9"/>
    <w:lvl w:ilvl="0" w:tentative="0">
      <w:start w:val="1"/>
      <w:numFmt w:val="decimal"/>
      <w:pStyle w:val="129"/>
      <w:suff w:val="nothing"/>
      <w:lvlText w:val="图%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5E63562F"/>
    <w:multiLevelType w:val="multilevel"/>
    <w:tmpl w:val="5E63562F"/>
    <w:lvl w:ilvl="0" w:tentative="0">
      <w:start w:val="1"/>
      <w:numFmt w:val="decimal"/>
      <w:pStyle w:val="59"/>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2">
    <w:nsid w:val="60B55DC2"/>
    <w:multiLevelType w:val="multilevel"/>
    <w:tmpl w:val="60B55DC2"/>
    <w:lvl w:ilvl="0" w:tentative="0">
      <w:start w:val="1"/>
      <w:numFmt w:val="upperLetter"/>
      <w:pStyle w:val="87"/>
      <w:lvlText w:val="%1"/>
      <w:lvlJc w:val="left"/>
      <w:pPr>
        <w:tabs>
          <w:tab w:val="left" w:pos="0"/>
        </w:tabs>
        <w:ind w:left="0" w:hanging="425"/>
      </w:pPr>
      <w:rPr>
        <w:rFonts w:hint="eastAsia"/>
      </w:rPr>
    </w:lvl>
    <w:lvl w:ilvl="1" w:tentative="0">
      <w:start w:val="1"/>
      <w:numFmt w:val="decimal"/>
      <w:pStyle w:val="8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3404DBE"/>
    <w:multiLevelType w:val="multilevel"/>
    <w:tmpl w:val="63404DBE"/>
    <w:lvl w:ilvl="0" w:tentative="0">
      <w:start w:val="1"/>
      <w:numFmt w:val="none"/>
      <w:pStyle w:val="5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63AF7EBF"/>
    <w:multiLevelType w:val="multilevel"/>
    <w:tmpl w:val="63AF7EBF"/>
    <w:lvl w:ilvl="0" w:tentative="0">
      <w:start w:val="1"/>
      <w:numFmt w:val="decimal"/>
      <w:pStyle w:val="127"/>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657D3FBC"/>
    <w:multiLevelType w:val="multilevel"/>
    <w:tmpl w:val="657D3FBC"/>
    <w:lvl w:ilvl="0" w:tentative="0">
      <w:start w:val="1"/>
      <w:numFmt w:val="upperLetter"/>
      <w:pStyle w:val="8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4"/>
      <w:suff w:val="nothing"/>
      <w:lvlText w:val="%1.%2.%3　"/>
      <w:lvlJc w:val="left"/>
      <w:pPr>
        <w:ind w:left="0" w:firstLine="0"/>
      </w:pPr>
      <w:rPr>
        <w:rFonts w:hint="eastAsia" w:ascii="黑体" w:hAnsi="Times New Roman" w:eastAsia="黑体"/>
        <w:b w:val="0"/>
        <w:i w:val="0"/>
        <w:sz w:val="21"/>
      </w:rPr>
    </w:lvl>
    <w:lvl w:ilvl="3" w:tentative="0">
      <w:start w:val="1"/>
      <w:numFmt w:val="decimal"/>
      <w:pStyle w:val="89"/>
      <w:suff w:val="nothing"/>
      <w:lvlText w:val="%1.%2.%3.%4　"/>
      <w:lvlJc w:val="left"/>
      <w:pPr>
        <w:ind w:left="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1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AB870ED"/>
    <w:multiLevelType w:val="multilevel"/>
    <w:tmpl w:val="6AB870ED"/>
    <w:lvl w:ilvl="0" w:tentative="0">
      <w:start w:val="1"/>
      <w:numFmt w:val="decimal"/>
      <w:pStyle w:val="63"/>
      <w:suff w:val="nothing"/>
      <w:lvlText w:val="示例%1："/>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7">
    <w:nsid w:val="6D6C07CD"/>
    <w:multiLevelType w:val="multilevel"/>
    <w:tmpl w:val="6D6C07CD"/>
    <w:lvl w:ilvl="0" w:tentative="0">
      <w:start w:val="1"/>
      <w:numFmt w:val="lowerLetter"/>
      <w:pStyle w:val="106"/>
      <w:lvlText w:val="%1)"/>
      <w:lvlJc w:val="left"/>
      <w:pPr>
        <w:tabs>
          <w:tab w:val="left" w:pos="839"/>
        </w:tabs>
        <w:ind w:left="839" w:hanging="419"/>
      </w:pPr>
      <w:rPr>
        <w:rFonts w:hint="eastAsia" w:ascii="宋体" w:eastAsia="宋体"/>
        <w:b w:val="0"/>
        <w:i w:val="0"/>
        <w:sz w:val="21"/>
      </w:rPr>
    </w:lvl>
    <w:lvl w:ilvl="1" w:tentative="0">
      <w:start w:val="1"/>
      <w:numFmt w:val="decimal"/>
      <w:pStyle w:val="9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8"/>
  </w:num>
  <w:num w:numId="2">
    <w:abstractNumId w:val="3"/>
  </w:num>
  <w:num w:numId="3">
    <w:abstractNumId w:val="7"/>
  </w:num>
  <w:num w:numId="4">
    <w:abstractNumId w:val="13"/>
  </w:num>
  <w:num w:numId="5">
    <w:abstractNumId w:val="9"/>
  </w:num>
  <w:num w:numId="6">
    <w:abstractNumId w:val="2"/>
  </w:num>
  <w:num w:numId="7">
    <w:abstractNumId w:val="11"/>
  </w:num>
  <w:num w:numId="8">
    <w:abstractNumId w:val="16"/>
  </w:num>
  <w:num w:numId="9">
    <w:abstractNumId w:val="5"/>
  </w:num>
  <w:num w:numId="10">
    <w:abstractNumId w:val="1"/>
  </w:num>
  <w:num w:numId="11">
    <w:abstractNumId w:val="15"/>
  </w:num>
  <w:num w:numId="12">
    <w:abstractNumId w:val="12"/>
  </w:num>
  <w:num w:numId="13">
    <w:abstractNumId w:val="17"/>
  </w:num>
  <w:num w:numId="14">
    <w:abstractNumId w:val="6"/>
  </w:num>
  <w:num w:numId="15">
    <w:abstractNumId w:val="4"/>
  </w:num>
  <w:num w:numId="16">
    <w:abstractNumId w:val="14"/>
  </w:num>
  <w:num w:numId="17">
    <w:abstractNumId w:val="1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4"/>
    <w:rsid w:val="00000BB3"/>
    <w:rsid w:val="0000185F"/>
    <w:rsid w:val="00004B91"/>
    <w:rsid w:val="00004E32"/>
    <w:rsid w:val="0000586F"/>
    <w:rsid w:val="0000606B"/>
    <w:rsid w:val="00013D86"/>
    <w:rsid w:val="00013E02"/>
    <w:rsid w:val="0002143C"/>
    <w:rsid w:val="00025A65"/>
    <w:rsid w:val="00026C31"/>
    <w:rsid w:val="00027280"/>
    <w:rsid w:val="000320A7"/>
    <w:rsid w:val="000325EA"/>
    <w:rsid w:val="00032E0A"/>
    <w:rsid w:val="00034D2D"/>
    <w:rsid w:val="00035925"/>
    <w:rsid w:val="00036C2C"/>
    <w:rsid w:val="0004530E"/>
    <w:rsid w:val="00045A7C"/>
    <w:rsid w:val="000502B6"/>
    <w:rsid w:val="00053BCA"/>
    <w:rsid w:val="00055081"/>
    <w:rsid w:val="00055371"/>
    <w:rsid w:val="00055A30"/>
    <w:rsid w:val="00056A24"/>
    <w:rsid w:val="00057CE5"/>
    <w:rsid w:val="000607A3"/>
    <w:rsid w:val="000657F7"/>
    <w:rsid w:val="00067CDF"/>
    <w:rsid w:val="000709E3"/>
    <w:rsid w:val="00072FD6"/>
    <w:rsid w:val="00074FBE"/>
    <w:rsid w:val="0007762A"/>
    <w:rsid w:val="00081F6E"/>
    <w:rsid w:val="00083A09"/>
    <w:rsid w:val="00083BFE"/>
    <w:rsid w:val="0009005E"/>
    <w:rsid w:val="000918A9"/>
    <w:rsid w:val="00092001"/>
    <w:rsid w:val="00092618"/>
    <w:rsid w:val="00092857"/>
    <w:rsid w:val="00092BD8"/>
    <w:rsid w:val="000930CD"/>
    <w:rsid w:val="000959B3"/>
    <w:rsid w:val="00095D5A"/>
    <w:rsid w:val="000964C7"/>
    <w:rsid w:val="000979D9"/>
    <w:rsid w:val="000A20A9"/>
    <w:rsid w:val="000A36CA"/>
    <w:rsid w:val="000A48B1"/>
    <w:rsid w:val="000A5F21"/>
    <w:rsid w:val="000A76E3"/>
    <w:rsid w:val="000B2C50"/>
    <w:rsid w:val="000B2F0E"/>
    <w:rsid w:val="000B3143"/>
    <w:rsid w:val="000B405D"/>
    <w:rsid w:val="000B43C2"/>
    <w:rsid w:val="000C2BE6"/>
    <w:rsid w:val="000C6B05"/>
    <w:rsid w:val="000C6DD6"/>
    <w:rsid w:val="000C73D4"/>
    <w:rsid w:val="000D3D4C"/>
    <w:rsid w:val="000D4F51"/>
    <w:rsid w:val="000D54FC"/>
    <w:rsid w:val="000D718B"/>
    <w:rsid w:val="000D7BD9"/>
    <w:rsid w:val="000E025C"/>
    <w:rsid w:val="000E0C46"/>
    <w:rsid w:val="000E15EE"/>
    <w:rsid w:val="000E3676"/>
    <w:rsid w:val="000F030C"/>
    <w:rsid w:val="000F129C"/>
    <w:rsid w:val="000F174F"/>
    <w:rsid w:val="000F36DB"/>
    <w:rsid w:val="000F5661"/>
    <w:rsid w:val="00104E29"/>
    <w:rsid w:val="001056DE"/>
    <w:rsid w:val="0010707E"/>
    <w:rsid w:val="001124C0"/>
    <w:rsid w:val="00117A25"/>
    <w:rsid w:val="00121293"/>
    <w:rsid w:val="001224FE"/>
    <w:rsid w:val="0013175F"/>
    <w:rsid w:val="0013364D"/>
    <w:rsid w:val="001343BB"/>
    <w:rsid w:val="00134539"/>
    <w:rsid w:val="00140F58"/>
    <w:rsid w:val="00143425"/>
    <w:rsid w:val="001512B4"/>
    <w:rsid w:val="00153A26"/>
    <w:rsid w:val="001620A5"/>
    <w:rsid w:val="00164E53"/>
    <w:rsid w:val="00165D35"/>
    <w:rsid w:val="0016699D"/>
    <w:rsid w:val="001670D9"/>
    <w:rsid w:val="00175159"/>
    <w:rsid w:val="00175AD7"/>
    <w:rsid w:val="00176208"/>
    <w:rsid w:val="0017780C"/>
    <w:rsid w:val="001813B2"/>
    <w:rsid w:val="0018211B"/>
    <w:rsid w:val="00183FE1"/>
    <w:rsid w:val="001840D3"/>
    <w:rsid w:val="00184782"/>
    <w:rsid w:val="00185FB5"/>
    <w:rsid w:val="00187A8A"/>
    <w:rsid w:val="001900F8"/>
    <w:rsid w:val="00191258"/>
    <w:rsid w:val="00192680"/>
    <w:rsid w:val="00193037"/>
    <w:rsid w:val="00193375"/>
    <w:rsid w:val="00193A2C"/>
    <w:rsid w:val="001A0E8F"/>
    <w:rsid w:val="001A288E"/>
    <w:rsid w:val="001B36ED"/>
    <w:rsid w:val="001B3D3A"/>
    <w:rsid w:val="001B6DC2"/>
    <w:rsid w:val="001B754B"/>
    <w:rsid w:val="001C149C"/>
    <w:rsid w:val="001C21AC"/>
    <w:rsid w:val="001C3689"/>
    <w:rsid w:val="001C47BA"/>
    <w:rsid w:val="001C59EA"/>
    <w:rsid w:val="001D3556"/>
    <w:rsid w:val="001D406C"/>
    <w:rsid w:val="001D41EE"/>
    <w:rsid w:val="001D4BEB"/>
    <w:rsid w:val="001D71E6"/>
    <w:rsid w:val="001E0380"/>
    <w:rsid w:val="001E0B1B"/>
    <w:rsid w:val="001E13B1"/>
    <w:rsid w:val="001E2153"/>
    <w:rsid w:val="001F3A19"/>
    <w:rsid w:val="001F4EB7"/>
    <w:rsid w:val="001F771A"/>
    <w:rsid w:val="002009E4"/>
    <w:rsid w:val="00201053"/>
    <w:rsid w:val="0020251B"/>
    <w:rsid w:val="00204DCD"/>
    <w:rsid w:val="002073D3"/>
    <w:rsid w:val="00212EBD"/>
    <w:rsid w:val="00212FCA"/>
    <w:rsid w:val="00213D03"/>
    <w:rsid w:val="00215D48"/>
    <w:rsid w:val="0021624B"/>
    <w:rsid w:val="0022185E"/>
    <w:rsid w:val="0022620A"/>
    <w:rsid w:val="00227FED"/>
    <w:rsid w:val="0023030A"/>
    <w:rsid w:val="00230F08"/>
    <w:rsid w:val="00234467"/>
    <w:rsid w:val="00235BE6"/>
    <w:rsid w:val="00237D8D"/>
    <w:rsid w:val="00241DA2"/>
    <w:rsid w:val="00247FEE"/>
    <w:rsid w:val="00250B57"/>
    <w:rsid w:val="00250E7D"/>
    <w:rsid w:val="002523DB"/>
    <w:rsid w:val="002527DD"/>
    <w:rsid w:val="00252DAA"/>
    <w:rsid w:val="002565D5"/>
    <w:rsid w:val="002622C0"/>
    <w:rsid w:val="00263510"/>
    <w:rsid w:val="002656A5"/>
    <w:rsid w:val="002777BD"/>
    <w:rsid w:val="002778AE"/>
    <w:rsid w:val="0028269A"/>
    <w:rsid w:val="0028314A"/>
    <w:rsid w:val="00283590"/>
    <w:rsid w:val="0028500B"/>
    <w:rsid w:val="00286973"/>
    <w:rsid w:val="00287674"/>
    <w:rsid w:val="002938A4"/>
    <w:rsid w:val="00294E70"/>
    <w:rsid w:val="002954B8"/>
    <w:rsid w:val="002967B2"/>
    <w:rsid w:val="002A1924"/>
    <w:rsid w:val="002A5837"/>
    <w:rsid w:val="002A7420"/>
    <w:rsid w:val="002A7A7E"/>
    <w:rsid w:val="002B0F12"/>
    <w:rsid w:val="002B1308"/>
    <w:rsid w:val="002B4554"/>
    <w:rsid w:val="002B707C"/>
    <w:rsid w:val="002C0FBB"/>
    <w:rsid w:val="002C72D8"/>
    <w:rsid w:val="002D11FA"/>
    <w:rsid w:val="002D17BC"/>
    <w:rsid w:val="002D19A4"/>
    <w:rsid w:val="002D6352"/>
    <w:rsid w:val="002E0DDF"/>
    <w:rsid w:val="002E2906"/>
    <w:rsid w:val="002E5249"/>
    <w:rsid w:val="002E5635"/>
    <w:rsid w:val="002E64C3"/>
    <w:rsid w:val="002E6A2C"/>
    <w:rsid w:val="002F035E"/>
    <w:rsid w:val="002F0FE8"/>
    <w:rsid w:val="002F1D8C"/>
    <w:rsid w:val="002F21DA"/>
    <w:rsid w:val="002F34B8"/>
    <w:rsid w:val="002F3D70"/>
    <w:rsid w:val="00301F39"/>
    <w:rsid w:val="00303D27"/>
    <w:rsid w:val="00305BEE"/>
    <w:rsid w:val="003067E6"/>
    <w:rsid w:val="00312975"/>
    <w:rsid w:val="00313962"/>
    <w:rsid w:val="003234E0"/>
    <w:rsid w:val="00323F03"/>
    <w:rsid w:val="00325926"/>
    <w:rsid w:val="00327252"/>
    <w:rsid w:val="00327A8A"/>
    <w:rsid w:val="003339A3"/>
    <w:rsid w:val="00336610"/>
    <w:rsid w:val="00341F5C"/>
    <w:rsid w:val="00343D23"/>
    <w:rsid w:val="00343F73"/>
    <w:rsid w:val="00345060"/>
    <w:rsid w:val="003451FB"/>
    <w:rsid w:val="00352629"/>
    <w:rsid w:val="0035323B"/>
    <w:rsid w:val="00353D19"/>
    <w:rsid w:val="0035785A"/>
    <w:rsid w:val="003609D2"/>
    <w:rsid w:val="00363F22"/>
    <w:rsid w:val="00364940"/>
    <w:rsid w:val="00375564"/>
    <w:rsid w:val="00376489"/>
    <w:rsid w:val="00377824"/>
    <w:rsid w:val="003818A4"/>
    <w:rsid w:val="00383191"/>
    <w:rsid w:val="00386DED"/>
    <w:rsid w:val="003879E8"/>
    <w:rsid w:val="003912E7"/>
    <w:rsid w:val="0039307C"/>
    <w:rsid w:val="00393947"/>
    <w:rsid w:val="00395141"/>
    <w:rsid w:val="003A0E27"/>
    <w:rsid w:val="003A14AD"/>
    <w:rsid w:val="003A1E26"/>
    <w:rsid w:val="003A2275"/>
    <w:rsid w:val="003A6A4F"/>
    <w:rsid w:val="003A7088"/>
    <w:rsid w:val="003B00DF"/>
    <w:rsid w:val="003B0B56"/>
    <w:rsid w:val="003B1275"/>
    <w:rsid w:val="003B1778"/>
    <w:rsid w:val="003C11CB"/>
    <w:rsid w:val="003C3017"/>
    <w:rsid w:val="003C663B"/>
    <w:rsid w:val="003C6A77"/>
    <w:rsid w:val="003C6E99"/>
    <w:rsid w:val="003C75F3"/>
    <w:rsid w:val="003C78A3"/>
    <w:rsid w:val="003D0EC8"/>
    <w:rsid w:val="003D36AB"/>
    <w:rsid w:val="003E1867"/>
    <w:rsid w:val="003E5729"/>
    <w:rsid w:val="003E6280"/>
    <w:rsid w:val="003E724E"/>
    <w:rsid w:val="003F1D40"/>
    <w:rsid w:val="003F22BB"/>
    <w:rsid w:val="003F2A5B"/>
    <w:rsid w:val="003F4EE0"/>
    <w:rsid w:val="003F5559"/>
    <w:rsid w:val="003F6861"/>
    <w:rsid w:val="00400473"/>
    <w:rsid w:val="00401A53"/>
    <w:rsid w:val="004020BE"/>
    <w:rsid w:val="00402153"/>
    <w:rsid w:val="004023FF"/>
    <w:rsid w:val="00402E26"/>
    <w:rsid w:val="00402FC1"/>
    <w:rsid w:val="004157CB"/>
    <w:rsid w:val="004200D9"/>
    <w:rsid w:val="00425082"/>
    <w:rsid w:val="00430053"/>
    <w:rsid w:val="00431DEB"/>
    <w:rsid w:val="00440A06"/>
    <w:rsid w:val="0044259D"/>
    <w:rsid w:val="004439D9"/>
    <w:rsid w:val="00446B29"/>
    <w:rsid w:val="00451F6D"/>
    <w:rsid w:val="004524BE"/>
    <w:rsid w:val="00453F9A"/>
    <w:rsid w:val="00454CC3"/>
    <w:rsid w:val="00464903"/>
    <w:rsid w:val="00471E91"/>
    <w:rsid w:val="0047401F"/>
    <w:rsid w:val="00474079"/>
    <w:rsid w:val="00474675"/>
    <w:rsid w:val="0047470C"/>
    <w:rsid w:val="00474D75"/>
    <w:rsid w:val="00482582"/>
    <w:rsid w:val="00484C88"/>
    <w:rsid w:val="00486991"/>
    <w:rsid w:val="00490BA1"/>
    <w:rsid w:val="004A203E"/>
    <w:rsid w:val="004A32B4"/>
    <w:rsid w:val="004A35F9"/>
    <w:rsid w:val="004A4662"/>
    <w:rsid w:val="004A7A3B"/>
    <w:rsid w:val="004A7E02"/>
    <w:rsid w:val="004B157A"/>
    <w:rsid w:val="004B24C1"/>
    <w:rsid w:val="004B3092"/>
    <w:rsid w:val="004B49B1"/>
    <w:rsid w:val="004B557C"/>
    <w:rsid w:val="004C292F"/>
    <w:rsid w:val="004C657F"/>
    <w:rsid w:val="004D306F"/>
    <w:rsid w:val="004D4B02"/>
    <w:rsid w:val="004D4F76"/>
    <w:rsid w:val="004E4B13"/>
    <w:rsid w:val="004E4B8C"/>
    <w:rsid w:val="004E5A47"/>
    <w:rsid w:val="004E76B5"/>
    <w:rsid w:val="004F50E5"/>
    <w:rsid w:val="004F6651"/>
    <w:rsid w:val="005036E2"/>
    <w:rsid w:val="00510280"/>
    <w:rsid w:val="0051035F"/>
    <w:rsid w:val="00511F7E"/>
    <w:rsid w:val="00513D73"/>
    <w:rsid w:val="005148B3"/>
    <w:rsid w:val="00514A43"/>
    <w:rsid w:val="00515E9C"/>
    <w:rsid w:val="005174E5"/>
    <w:rsid w:val="005175A0"/>
    <w:rsid w:val="00520898"/>
    <w:rsid w:val="00522393"/>
    <w:rsid w:val="00522620"/>
    <w:rsid w:val="00525656"/>
    <w:rsid w:val="00525BF3"/>
    <w:rsid w:val="00530E6E"/>
    <w:rsid w:val="005338DE"/>
    <w:rsid w:val="00533EAE"/>
    <w:rsid w:val="00534C02"/>
    <w:rsid w:val="00535EAF"/>
    <w:rsid w:val="0053708C"/>
    <w:rsid w:val="0054044C"/>
    <w:rsid w:val="00540A31"/>
    <w:rsid w:val="0054264B"/>
    <w:rsid w:val="00543786"/>
    <w:rsid w:val="00545A49"/>
    <w:rsid w:val="005463CC"/>
    <w:rsid w:val="00546D0D"/>
    <w:rsid w:val="00547C78"/>
    <w:rsid w:val="0055153A"/>
    <w:rsid w:val="005533D7"/>
    <w:rsid w:val="00554B63"/>
    <w:rsid w:val="00562CF6"/>
    <w:rsid w:val="00563044"/>
    <w:rsid w:val="0056544B"/>
    <w:rsid w:val="005657EC"/>
    <w:rsid w:val="00567177"/>
    <w:rsid w:val="005703DE"/>
    <w:rsid w:val="00570B0A"/>
    <w:rsid w:val="005710BC"/>
    <w:rsid w:val="005751F7"/>
    <w:rsid w:val="005755F1"/>
    <w:rsid w:val="00577DE2"/>
    <w:rsid w:val="0058191F"/>
    <w:rsid w:val="00582BBE"/>
    <w:rsid w:val="005836F0"/>
    <w:rsid w:val="0058464E"/>
    <w:rsid w:val="0058650E"/>
    <w:rsid w:val="005A01CB"/>
    <w:rsid w:val="005A19A9"/>
    <w:rsid w:val="005A3F06"/>
    <w:rsid w:val="005A58FF"/>
    <w:rsid w:val="005A5EAF"/>
    <w:rsid w:val="005A6491"/>
    <w:rsid w:val="005A64C0"/>
    <w:rsid w:val="005A7FE9"/>
    <w:rsid w:val="005B1985"/>
    <w:rsid w:val="005B3C11"/>
    <w:rsid w:val="005B6513"/>
    <w:rsid w:val="005C1C28"/>
    <w:rsid w:val="005C43D0"/>
    <w:rsid w:val="005C6DB5"/>
    <w:rsid w:val="005C7424"/>
    <w:rsid w:val="005D0D2C"/>
    <w:rsid w:val="005D221E"/>
    <w:rsid w:val="005D3842"/>
    <w:rsid w:val="005E19E7"/>
    <w:rsid w:val="005E2392"/>
    <w:rsid w:val="005F6091"/>
    <w:rsid w:val="00601622"/>
    <w:rsid w:val="0060313B"/>
    <w:rsid w:val="00605058"/>
    <w:rsid w:val="0060789B"/>
    <w:rsid w:val="0061037E"/>
    <w:rsid w:val="006107BA"/>
    <w:rsid w:val="00613FAA"/>
    <w:rsid w:val="00616C36"/>
    <w:rsid w:val="0061716C"/>
    <w:rsid w:val="006171AF"/>
    <w:rsid w:val="006176D1"/>
    <w:rsid w:val="00617868"/>
    <w:rsid w:val="006243A1"/>
    <w:rsid w:val="00626005"/>
    <w:rsid w:val="00632E56"/>
    <w:rsid w:val="00635CBA"/>
    <w:rsid w:val="00636EFC"/>
    <w:rsid w:val="0064338B"/>
    <w:rsid w:val="00646542"/>
    <w:rsid w:val="00647C8E"/>
    <w:rsid w:val="006504F4"/>
    <w:rsid w:val="0065366F"/>
    <w:rsid w:val="00654BC9"/>
    <w:rsid w:val="006552FD"/>
    <w:rsid w:val="00656F0B"/>
    <w:rsid w:val="00663733"/>
    <w:rsid w:val="00663AF3"/>
    <w:rsid w:val="00666B6C"/>
    <w:rsid w:val="00672F44"/>
    <w:rsid w:val="00677B54"/>
    <w:rsid w:val="00682682"/>
    <w:rsid w:val="00682702"/>
    <w:rsid w:val="00687FC9"/>
    <w:rsid w:val="00692368"/>
    <w:rsid w:val="00695192"/>
    <w:rsid w:val="006A2EBC"/>
    <w:rsid w:val="006A5EA0"/>
    <w:rsid w:val="006A783B"/>
    <w:rsid w:val="006A7B33"/>
    <w:rsid w:val="006B497F"/>
    <w:rsid w:val="006B4E13"/>
    <w:rsid w:val="006B6A25"/>
    <w:rsid w:val="006B75DD"/>
    <w:rsid w:val="006C047C"/>
    <w:rsid w:val="006C3D8B"/>
    <w:rsid w:val="006C67E0"/>
    <w:rsid w:val="006C7ABA"/>
    <w:rsid w:val="006D0A13"/>
    <w:rsid w:val="006D0D60"/>
    <w:rsid w:val="006D1122"/>
    <w:rsid w:val="006D317E"/>
    <w:rsid w:val="006D3B1E"/>
    <w:rsid w:val="006D3C00"/>
    <w:rsid w:val="006E06AD"/>
    <w:rsid w:val="006E3673"/>
    <w:rsid w:val="006E3675"/>
    <w:rsid w:val="006E4A7F"/>
    <w:rsid w:val="006E56E9"/>
    <w:rsid w:val="006F0967"/>
    <w:rsid w:val="006F2274"/>
    <w:rsid w:val="006F64A0"/>
    <w:rsid w:val="0070038F"/>
    <w:rsid w:val="007027B1"/>
    <w:rsid w:val="0070286C"/>
    <w:rsid w:val="00704DF6"/>
    <w:rsid w:val="0070641D"/>
    <w:rsid w:val="0070651C"/>
    <w:rsid w:val="0070683A"/>
    <w:rsid w:val="007132A3"/>
    <w:rsid w:val="00714A4F"/>
    <w:rsid w:val="00716421"/>
    <w:rsid w:val="00716923"/>
    <w:rsid w:val="00721419"/>
    <w:rsid w:val="00724EFB"/>
    <w:rsid w:val="00726575"/>
    <w:rsid w:val="00730310"/>
    <w:rsid w:val="00740A49"/>
    <w:rsid w:val="007419C3"/>
    <w:rsid w:val="007446A8"/>
    <w:rsid w:val="00746559"/>
    <w:rsid w:val="007467A7"/>
    <w:rsid w:val="007469DD"/>
    <w:rsid w:val="0074741B"/>
    <w:rsid w:val="0074759E"/>
    <w:rsid w:val="007478EA"/>
    <w:rsid w:val="0075415C"/>
    <w:rsid w:val="00757097"/>
    <w:rsid w:val="007606CB"/>
    <w:rsid w:val="00761E8B"/>
    <w:rsid w:val="00763502"/>
    <w:rsid w:val="00772089"/>
    <w:rsid w:val="00777725"/>
    <w:rsid w:val="00780DE2"/>
    <w:rsid w:val="00785003"/>
    <w:rsid w:val="007913AB"/>
    <w:rsid w:val="007914F7"/>
    <w:rsid w:val="00795C73"/>
    <w:rsid w:val="007A000F"/>
    <w:rsid w:val="007A2BDB"/>
    <w:rsid w:val="007A4809"/>
    <w:rsid w:val="007A637E"/>
    <w:rsid w:val="007B1625"/>
    <w:rsid w:val="007B706E"/>
    <w:rsid w:val="007B71EB"/>
    <w:rsid w:val="007C0748"/>
    <w:rsid w:val="007C4AC3"/>
    <w:rsid w:val="007C6205"/>
    <w:rsid w:val="007C686A"/>
    <w:rsid w:val="007C728E"/>
    <w:rsid w:val="007C72A8"/>
    <w:rsid w:val="007D0BE0"/>
    <w:rsid w:val="007D204F"/>
    <w:rsid w:val="007D2C53"/>
    <w:rsid w:val="007D3D60"/>
    <w:rsid w:val="007D7E6E"/>
    <w:rsid w:val="007E1980"/>
    <w:rsid w:val="007E22FF"/>
    <w:rsid w:val="007E4B76"/>
    <w:rsid w:val="007E4ECD"/>
    <w:rsid w:val="007E5043"/>
    <w:rsid w:val="007E5EA8"/>
    <w:rsid w:val="007E74ED"/>
    <w:rsid w:val="007F0CF1"/>
    <w:rsid w:val="007F12A5"/>
    <w:rsid w:val="007F2D74"/>
    <w:rsid w:val="007F3FB7"/>
    <w:rsid w:val="007F4CF1"/>
    <w:rsid w:val="007F54D6"/>
    <w:rsid w:val="007F758D"/>
    <w:rsid w:val="007F7D52"/>
    <w:rsid w:val="008000DA"/>
    <w:rsid w:val="00802D2A"/>
    <w:rsid w:val="008047D3"/>
    <w:rsid w:val="0080484A"/>
    <w:rsid w:val="00805589"/>
    <w:rsid w:val="008057A5"/>
    <w:rsid w:val="00805E2F"/>
    <w:rsid w:val="0080654C"/>
    <w:rsid w:val="008071C6"/>
    <w:rsid w:val="00815D1E"/>
    <w:rsid w:val="00817A00"/>
    <w:rsid w:val="0082014D"/>
    <w:rsid w:val="00820907"/>
    <w:rsid w:val="00820B95"/>
    <w:rsid w:val="00820C67"/>
    <w:rsid w:val="00825891"/>
    <w:rsid w:val="00831631"/>
    <w:rsid w:val="0083228D"/>
    <w:rsid w:val="00833D07"/>
    <w:rsid w:val="00835DB3"/>
    <w:rsid w:val="0083617B"/>
    <w:rsid w:val="0083627B"/>
    <w:rsid w:val="00836342"/>
    <w:rsid w:val="00836A2D"/>
    <w:rsid w:val="008371BD"/>
    <w:rsid w:val="00840EBF"/>
    <w:rsid w:val="008503D0"/>
    <w:rsid w:val="008504A8"/>
    <w:rsid w:val="00851B58"/>
    <w:rsid w:val="0085282E"/>
    <w:rsid w:val="00854769"/>
    <w:rsid w:val="008608E6"/>
    <w:rsid w:val="0087198C"/>
    <w:rsid w:val="00872C1F"/>
    <w:rsid w:val="00873B42"/>
    <w:rsid w:val="00875D43"/>
    <w:rsid w:val="00877CB0"/>
    <w:rsid w:val="008805AC"/>
    <w:rsid w:val="00880D1A"/>
    <w:rsid w:val="00884468"/>
    <w:rsid w:val="008856D8"/>
    <w:rsid w:val="00886722"/>
    <w:rsid w:val="00887C29"/>
    <w:rsid w:val="00892E82"/>
    <w:rsid w:val="00893277"/>
    <w:rsid w:val="008943AB"/>
    <w:rsid w:val="008955FB"/>
    <w:rsid w:val="00895FA9"/>
    <w:rsid w:val="00897DC0"/>
    <w:rsid w:val="008A1035"/>
    <w:rsid w:val="008A6E08"/>
    <w:rsid w:val="008C0BE9"/>
    <w:rsid w:val="008C1B58"/>
    <w:rsid w:val="008C39AE"/>
    <w:rsid w:val="008C40DF"/>
    <w:rsid w:val="008C4734"/>
    <w:rsid w:val="008C590D"/>
    <w:rsid w:val="008D447E"/>
    <w:rsid w:val="008D7566"/>
    <w:rsid w:val="008E031B"/>
    <w:rsid w:val="008E0560"/>
    <w:rsid w:val="008E2D8C"/>
    <w:rsid w:val="008E7029"/>
    <w:rsid w:val="008E7757"/>
    <w:rsid w:val="008E7EF6"/>
    <w:rsid w:val="008F01AB"/>
    <w:rsid w:val="008F1F98"/>
    <w:rsid w:val="008F2340"/>
    <w:rsid w:val="008F2790"/>
    <w:rsid w:val="008F6758"/>
    <w:rsid w:val="009040DD"/>
    <w:rsid w:val="00905B47"/>
    <w:rsid w:val="0090690F"/>
    <w:rsid w:val="00911391"/>
    <w:rsid w:val="0091190E"/>
    <w:rsid w:val="0091331C"/>
    <w:rsid w:val="009137BD"/>
    <w:rsid w:val="0091503D"/>
    <w:rsid w:val="009279DE"/>
    <w:rsid w:val="00927AB9"/>
    <w:rsid w:val="00927B37"/>
    <w:rsid w:val="00930116"/>
    <w:rsid w:val="00930625"/>
    <w:rsid w:val="00933A1A"/>
    <w:rsid w:val="00937A1E"/>
    <w:rsid w:val="00941082"/>
    <w:rsid w:val="0094212C"/>
    <w:rsid w:val="00944853"/>
    <w:rsid w:val="0094609D"/>
    <w:rsid w:val="0095378C"/>
    <w:rsid w:val="00954689"/>
    <w:rsid w:val="0095472A"/>
    <w:rsid w:val="00955BFB"/>
    <w:rsid w:val="00956120"/>
    <w:rsid w:val="0096085A"/>
    <w:rsid w:val="009617C9"/>
    <w:rsid w:val="00961C93"/>
    <w:rsid w:val="009625BF"/>
    <w:rsid w:val="00962B4E"/>
    <w:rsid w:val="00965324"/>
    <w:rsid w:val="00967F90"/>
    <w:rsid w:val="0097091E"/>
    <w:rsid w:val="009760D3"/>
    <w:rsid w:val="00977132"/>
    <w:rsid w:val="00981A4B"/>
    <w:rsid w:val="00982250"/>
    <w:rsid w:val="00982501"/>
    <w:rsid w:val="009837EE"/>
    <w:rsid w:val="00983D33"/>
    <w:rsid w:val="00984358"/>
    <w:rsid w:val="009877D3"/>
    <w:rsid w:val="00994E8F"/>
    <w:rsid w:val="009951DC"/>
    <w:rsid w:val="009959BB"/>
    <w:rsid w:val="00997158"/>
    <w:rsid w:val="009A0827"/>
    <w:rsid w:val="009A3A7C"/>
    <w:rsid w:val="009A5D33"/>
    <w:rsid w:val="009A7D84"/>
    <w:rsid w:val="009B2323"/>
    <w:rsid w:val="009B2ADB"/>
    <w:rsid w:val="009B603A"/>
    <w:rsid w:val="009C2A6F"/>
    <w:rsid w:val="009C2D0E"/>
    <w:rsid w:val="009C39C2"/>
    <w:rsid w:val="009C3DAC"/>
    <w:rsid w:val="009C42E0"/>
    <w:rsid w:val="009C74E8"/>
    <w:rsid w:val="009D3230"/>
    <w:rsid w:val="009D5362"/>
    <w:rsid w:val="009E1415"/>
    <w:rsid w:val="009E6116"/>
    <w:rsid w:val="009E7E25"/>
    <w:rsid w:val="009F1810"/>
    <w:rsid w:val="009F546C"/>
    <w:rsid w:val="009F5492"/>
    <w:rsid w:val="00A02E43"/>
    <w:rsid w:val="00A05308"/>
    <w:rsid w:val="00A05368"/>
    <w:rsid w:val="00A06514"/>
    <w:rsid w:val="00A065F9"/>
    <w:rsid w:val="00A07011"/>
    <w:rsid w:val="00A07F34"/>
    <w:rsid w:val="00A07F8A"/>
    <w:rsid w:val="00A12A77"/>
    <w:rsid w:val="00A22154"/>
    <w:rsid w:val="00A24058"/>
    <w:rsid w:val="00A25C38"/>
    <w:rsid w:val="00A32D80"/>
    <w:rsid w:val="00A35824"/>
    <w:rsid w:val="00A36A60"/>
    <w:rsid w:val="00A36BBE"/>
    <w:rsid w:val="00A37C20"/>
    <w:rsid w:val="00A40D9E"/>
    <w:rsid w:val="00A41DF7"/>
    <w:rsid w:val="00A420B1"/>
    <w:rsid w:val="00A42ECA"/>
    <w:rsid w:val="00A4307A"/>
    <w:rsid w:val="00A46DEF"/>
    <w:rsid w:val="00A47EBB"/>
    <w:rsid w:val="00A51CDD"/>
    <w:rsid w:val="00A563F8"/>
    <w:rsid w:val="00A56BBA"/>
    <w:rsid w:val="00A653A7"/>
    <w:rsid w:val="00A6730D"/>
    <w:rsid w:val="00A71625"/>
    <w:rsid w:val="00A71B9B"/>
    <w:rsid w:val="00A751C7"/>
    <w:rsid w:val="00A80008"/>
    <w:rsid w:val="00A84CE5"/>
    <w:rsid w:val="00A8558D"/>
    <w:rsid w:val="00A87844"/>
    <w:rsid w:val="00A9227B"/>
    <w:rsid w:val="00A97A55"/>
    <w:rsid w:val="00AA038C"/>
    <w:rsid w:val="00AA0A31"/>
    <w:rsid w:val="00AA0BF7"/>
    <w:rsid w:val="00AA3471"/>
    <w:rsid w:val="00AA7A09"/>
    <w:rsid w:val="00AB3B50"/>
    <w:rsid w:val="00AB3D62"/>
    <w:rsid w:val="00AC05B1"/>
    <w:rsid w:val="00AC450C"/>
    <w:rsid w:val="00AC7966"/>
    <w:rsid w:val="00AD340B"/>
    <w:rsid w:val="00AD356C"/>
    <w:rsid w:val="00AE2914"/>
    <w:rsid w:val="00AE6D15"/>
    <w:rsid w:val="00AE7023"/>
    <w:rsid w:val="00AE7105"/>
    <w:rsid w:val="00AE78AA"/>
    <w:rsid w:val="00AF0EF3"/>
    <w:rsid w:val="00AF1F49"/>
    <w:rsid w:val="00AF2D81"/>
    <w:rsid w:val="00AF6F82"/>
    <w:rsid w:val="00B02463"/>
    <w:rsid w:val="00B04182"/>
    <w:rsid w:val="00B05ECF"/>
    <w:rsid w:val="00B07AE3"/>
    <w:rsid w:val="00B11430"/>
    <w:rsid w:val="00B12A5D"/>
    <w:rsid w:val="00B16A48"/>
    <w:rsid w:val="00B242F4"/>
    <w:rsid w:val="00B2477A"/>
    <w:rsid w:val="00B24D1C"/>
    <w:rsid w:val="00B30072"/>
    <w:rsid w:val="00B30481"/>
    <w:rsid w:val="00B3312F"/>
    <w:rsid w:val="00B34A0E"/>
    <w:rsid w:val="00B353EB"/>
    <w:rsid w:val="00B4016F"/>
    <w:rsid w:val="00B407AC"/>
    <w:rsid w:val="00B42BED"/>
    <w:rsid w:val="00B43374"/>
    <w:rsid w:val="00B439C4"/>
    <w:rsid w:val="00B43ACB"/>
    <w:rsid w:val="00B4535E"/>
    <w:rsid w:val="00B52A8C"/>
    <w:rsid w:val="00B54707"/>
    <w:rsid w:val="00B56155"/>
    <w:rsid w:val="00B62F11"/>
    <w:rsid w:val="00B63042"/>
    <w:rsid w:val="00B636A8"/>
    <w:rsid w:val="00B665C6"/>
    <w:rsid w:val="00B70FA2"/>
    <w:rsid w:val="00B72AD8"/>
    <w:rsid w:val="00B74441"/>
    <w:rsid w:val="00B758A5"/>
    <w:rsid w:val="00B805AF"/>
    <w:rsid w:val="00B814AA"/>
    <w:rsid w:val="00B81C63"/>
    <w:rsid w:val="00B82BD5"/>
    <w:rsid w:val="00B82D46"/>
    <w:rsid w:val="00B84E13"/>
    <w:rsid w:val="00B869EC"/>
    <w:rsid w:val="00B92383"/>
    <w:rsid w:val="00B9397A"/>
    <w:rsid w:val="00B9633D"/>
    <w:rsid w:val="00B967D5"/>
    <w:rsid w:val="00BA148C"/>
    <w:rsid w:val="00BA2EBE"/>
    <w:rsid w:val="00BA5F58"/>
    <w:rsid w:val="00BB0F28"/>
    <w:rsid w:val="00BB2DFF"/>
    <w:rsid w:val="00BB458A"/>
    <w:rsid w:val="00BB568A"/>
    <w:rsid w:val="00BB693F"/>
    <w:rsid w:val="00BB6C11"/>
    <w:rsid w:val="00BC4248"/>
    <w:rsid w:val="00BC5953"/>
    <w:rsid w:val="00BD00D3"/>
    <w:rsid w:val="00BD1659"/>
    <w:rsid w:val="00BD3AA9"/>
    <w:rsid w:val="00BD4A18"/>
    <w:rsid w:val="00BD4DAC"/>
    <w:rsid w:val="00BD6DB2"/>
    <w:rsid w:val="00BD73A1"/>
    <w:rsid w:val="00BE11CF"/>
    <w:rsid w:val="00BE1F60"/>
    <w:rsid w:val="00BE21AB"/>
    <w:rsid w:val="00BE55CB"/>
    <w:rsid w:val="00BE7067"/>
    <w:rsid w:val="00BF3BB2"/>
    <w:rsid w:val="00BF617A"/>
    <w:rsid w:val="00C0379D"/>
    <w:rsid w:val="00C03931"/>
    <w:rsid w:val="00C04E28"/>
    <w:rsid w:val="00C05FE3"/>
    <w:rsid w:val="00C11DA9"/>
    <w:rsid w:val="00C13624"/>
    <w:rsid w:val="00C2136D"/>
    <w:rsid w:val="00C214EE"/>
    <w:rsid w:val="00C22957"/>
    <w:rsid w:val="00C2314B"/>
    <w:rsid w:val="00C244A0"/>
    <w:rsid w:val="00C24971"/>
    <w:rsid w:val="00C25355"/>
    <w:rsid w:val="00C26BE5"/>
    <w:rsid w:val="00C26E4D"/>
    <w:rsid w:val="00C27909"/>
    <w:rsid w:val="00C27B03"/>
    <w:rsid w:val="00C314E1"/>
    <w:rsid w:val="00C32472"/>
    <w:rsid w:val="00C3266E"/>
    <w:rsid w:val="00C34397"/>
    <w:rsid w:val="00C359B6"/>
    <w:rsid w:val="00C40503"/>
    <w:rsid w:val="00C4095D"/>
    <w:rsid w:val="00C41020"/>
    <w:rsid w:val="00C41CE6"/>
    <w:rsid w:val="00C4220D"/>
    <w:rsid w:val="00C57A9C"/>
    <w:rsid w:val="00C601D2"/>
    <w:rsid w:val="00C65BCC"/>
    <w:rsid w:val="00C65FDF"/>
    <w:rsid w:val="00C66970"/>
    <w:rsid w:val="00C71F4D"/>
    <w:rsid w:val="00C7778F"/>
    <w:rsid w:val="00C81BB3"/>
    <w:rsid w:val="00C841BA"/>
    <w:rsid w:val="00C84C10"/>
    <w:rsid w:val="00C8691C"/>
    <w:rsid w:val="00C86CB4"/>
    <w:rsid w:val="00C96295"/>
    <w:rsid w:val="00C96364"/>
    <w:rsid w:val="00C96A3D"/>
    <w:rsid w:val="00CA03DF"/>
    <w:rsid w:val="00CA168A"/>
    <w:rsid w:val="00CA2097"/>
    <w:rsid w:val="00CA357E"/>
    <w:rsid w:val="00CA44F9"/>
    <w:rsid w:val="00CA4A69"/>
    <w:rsid w:val="00CA639E"/>
    <w:rsid w:val="00CB6F0D"/>
    <w:rsid w:val="00CB722E"/>
    <w:rsid w:val="00CC1F0D"/>
    <w:rsid w:val="00CC3E0C"/>
    <w:rsid w:val="00CC58D3"/>
    <w:rsid w:val="00CC6923"/>
    <w:rsid w:val="00CC784D"/>
    <w:rsid w:val="00CD5D33"/>
    <w:rsid w:val="00CD6688"/>
    <w:rsid w:val="00CF1E15"/>
    <w:rsid w:val="00CF4AF6"/>
    <w:rsid w:val="00D00A8D"/>
    <w:rsid w:val="00D03268"/>
    <w:rsid w:val="00D0337B"/>
    <w:rsid w:val="00D07777"/>
    <w:rsid w:val="00D079B2"/>
    <w:rsid w:val="00D114E9"/>
    <w:rsid w:val="00D17CD8"/>
    <w:rsid w:val="00D17FE4"/>
    <w:rsid w:val="00D22148"/>
    <w:rsid w:val="00D226B7"/>
    <w:rsid w:val="00D2527C"/>
    <w:rsid w:val="00D25A85"/>
    <w:rsid w:val="00D26EB3"/>
    <w:rsid w:val="00D27867"/>
    <w:rsid w:val="00D313B3"/>
    <w:rsid w:val="00D3308E"/>
    <w:rsid w:val="00D355A7"/>
    <w:rsid w:val="00D35B8E"/>
    <w:rsid w:val="00D37B1E"/>
    <w:rsid w:val="00D40F07"/>
    <w:rsid w:val="00D429C6"/>
    <w:rsid w:val="00D47748"/>
    <w:rsid w:val="00D5178F"/>
    <w:rsid w:val="00D518DF"/>
    <w:rsid w:val="00D54CC3"/>
    <w:rsid w:val="00D54CDD"/>
    <w:rsid w:val="00D56ECB"/>
    <w:rsid w:val="00D6041A"/>
    <w:rsid w:val="00D60E84"/>
    <w:rsid w:val="00D61258"/>
    <w:rsid w:val="00D633EB"/>
    <w:rsid w:val="00D67AA9"/>
    <w:rsid w:val="00D7169C"/>
    <w:rsid w:val="00D736AC"/>
    <w:rsid w:val="00D747AA"/>
    <w:rsid w:val="00D75A7E"/>
    <w:rsid w:val="00D80DB7"/>
    <w:rsid w:val="00D82FF7"/>
    <w:rsid w:val="00D83E40"/>
    <w:rsid w:val="00D84271"/>
    <w:rsid w:val="00D847FE"/>
    <w:rsid w:val="00D8680E"/>
    <w:rsid w:val="00D86B9C"/>
    <w:rsid w:val="00D900CD"/>
    <w:rsid w:val="00D90A39"/>
    <w:rsid w:val="00D9123D"/>
    <w:rsid w:val="00D964EA"/>
    <w:rsid w:val="00D966D0"/>
    <w:rsid w:val="00D9784A"/>
    <w:rsid w:val="00DA0C59"/>
    <w:rsid w:val="00DA3684"/>
    <w:rsid w:val="00DA3991"/>
    <w:rsid w:val="00DA39B7"/>
    <w:rsid w:val="00DA72A1"/>
    <w:rsid w:val="00DA7F95"/>
    <w:rsid w:val="00DB01F1"/>
    <w:rsid w:val="00DB3222"/>
    <w:rsid w:val="00DB75A8"/>
    <w:rsid w:val="00DB7E6C"/>
    <w:rsid w:val="00DC375C"/>
    <w:rsid w:val="00DC4F68"/>
    <w:rsid w:val="00DC64B0"/>
    <w:rsid w:val="00DC6B1E"/>
    <w:rsid w:val="00DC6B6E"/>
    <w:rsid w:val="00DD252A"/>
    <w:rsid w:val="00DD5949"/>
    <w:rsid w:val="00DD5A29"/>
    <w:rsid w:val="00DD5D9D"/>
    <w:rsid w:val="00DE2E5C"/>
    <w:rsid w:val="00DE35CB"/>
    <w:rsid w:val="00DF0EF0"/>
    <w:rsid w:val="00DF21E9"/>
    <w:rsid w:val="00DF22C7"/>
    <w:rsid w:val="00DF53CA"/>
    <w:rsid w:val="00DF5588"/>
    <w:rsid w:val="00DF5CC9"/>
    <w:rsid w:val="00E005D3"/>
    <w:rsid w:val="00E00F14"/>
    <w:rsid w:val="00E018C9"/>
    <w:rsid w:val="00E01CB8"/>
    <w:rsid w:val="00E03130"/>
    <w:rsid w:val="00E06386"/>
    <w:rsid w:val="00E075C5"/>
    <w:rsid w:val="00E1051A"/>
    <w:rsid w:val="00E111F3"/>
    <w:rsid w:val="00E11668"/>
    <w:rsid w:val="00E118E7"/>
    <w:rsid w:val="00E121FD"/>
    <w:rsid w:val="00E122B7"/>
    <w:rsid w:val="00E13711"/>
    <w:rsid w:val="00E21B55"/>
    <w:rsid w:val="00E221D3"/>
    <w:rsid w:val="00E24EB4"/>
    <w:rsid w:val="00E26580"/>
    <w:rsid w:val="00E27F92"/>
    <w:rsid w:val="00E30635"/>
    <w:rsid w:val="00E320ED"/>
    <w:rsid w:val="00E33AFB"/>
    <w:rsid w:val="00E34218"/>
    <w:rsid w:val="00E34B17"/>
    <w:rsid w:val="00E41918"/>
    <w:rsid w:val="00E4294E"/>
    <w:rsid w:val="00E4555B"/>
    <w:rsid w:val="00E46282"/>
    <w:rsid w:val="00E5216E"/>
    <w:rsid w:val="00E5529C"/>
    <w:rsid w:val="00E657C6"/>
    <w:rsid w:val="00E6678D"/>
    <w:rsid w:val="00E72B9D"/>
    <w:rsid w:val="00E75D40"/>
    <w:rsid w:val="00E77A4A"/>
    <w:rsid w:val="00E81965"/>
    <w:rsid w:val="00E81A88"/>
    <w:rsid w:val="00E82344"/>
    <w:rsid w:val="00E8341F"/>
    <w:rsid w:val="00E84C82"/>
    <w:rsid w:val="00E84D64"/>
    <w:rsid w:val="00E87408"/>
    <w:rsid w:val="00E914C4"/>
    <w:rsid w:val="00E934F5"/>
    <w:rsid w:val="00E96961"/>
    <w:rsid w:val="00EA72EC"/>
    <w:rsid w:val="00EA785D"/>
    <w:rsid w:val="00EB11CB"/>
    <w:rsid w:val="00EB1327"/>
    <w:rsid w:val="00EB1C71"/>
    <w:rsid w:val="00EB275A"/>
    <w:rsid w:val="00EB57CA"/>
    <w:rsid w:val="00EB5880"/>
    <w:rsid w:val="00EB786A"/>
    <w:rsid w:val="00EB7D05"/>
    <w:rsid w:val="00EC104C"/>
    <w:rsid w:val="00EC1578"/>
    <w:rsid w:val="00EC1BFC"/>
    <w:rsid w:val="00EC1C72"/>
    <w:rsid w:val="00EC3356"/>
    <w:rsid w:val="00EC3CC9"/>
    <w:rsid w:val="00EC5D85"/>
    <w:rsid w:val="00EC680A"/>
    <w:rsid w:val="00ED3C43"/>
    <w:rsid w:val="00ED45CB"/>
    <w:rsid w:val="00ED511C"/>
    <w:rsid w:val="00ED7229"/>
    <w:rsid w:val="00EE25CB"/>
    <w:rsid w:val="00EE2974"/>
    <w:rsid w:val="00EE2BED"/>
    <w:rsid w:val="00EE374B"/>
    <w:rsid w:val="00EE4A87"/>
    <w:rsid w:val="00EF2869"/>
    <w:rsid w:val="00F05442"/>
    <w:rsid w:val="00F05D60"/>
    <w:rsid w:val="00F060ED"/>
    <w:rsid w:val="00F07224"/>
    <w:rsid w:val="00F07FD3"/>
    <w:rsid w:val="00F11BB5"/>
    <w:rsid w:val="00F1296C"/>
    <w:rsid w:val="00F1316D"/>
    <w:rsid w:val="00F1417B"/>
    <w:rsid w:val="00F1712D"/>
    <w:rsid w:val="00F17A17"/>
    <w:rsid w:val="00F208A0"/>
    <w:rsid w:val="00F2115E"/>
    <w:rsid w:val="00F27B3D"/>
    <w:rsid w:val="00F30ABD"/>
    <w:rsid w:val="00F34243"/>
    <w:rsid w:val="00F34B99"/>
    <w:rsid w:val="00F40B02"/>
    <w:rsid w:val="00F40C40"/>
    <w:rsid w:val="00F41E81"/>
    <w:rsid w:val="00F42861"/>
    <w:rsid w:val="00F47FDE"/>
    <w:rsid w:val="00F51720"/>
    <w:rsid w:val="00F51CF2"/>
    <w:rsid w:val="00F52DAB"/>
    <w:rsid w:val="00F543F0"/>
    <w:rsid w:val="00F55E3E"/>
    <w:rsid w:val="00F57601"/>
    <w:rsid w:val="00F73F99"/>
    <w:rsid w:val="00F75F80"/>
    <w:rsid w:val="00F81D29"/>
    <w:rsid w:val="00F863EE"/>
    <w:rsid w:val="00F877F6"/>
    <w:rsid w:val="00F90BE5"/>
    <w:rsid w:val="00F91C4D"/>
    <w:rsid w:val="00F92FD9"/>
    <w:rsid w:val="00F95A39"/>
    <w:rsid w:val="00F97210"/>
    <w:rsid w:val="00FA0231"/>
    <w:rsid w:val="00FA37B1"/>
    <w:rsid w:val="00FA3E0B"/>
    <w:rsid w:val="00FA5EF7"/>
    <w:rsid w:val="00FA6684"/>
    <w:rsid w:val="00FA731E"/>
    <w:rsid w:val="00FA7BD0"/>
    <w:rsid w:val="00FB034A"/>
    <w:rsid w:val="00FB1DCF"/>
    <w:rsid w:val="00FB2B38"/>
    <w:rsid w:val="00FB61CE"/>
    <w:rsid w:val="00FB7A07"/>
    <w:rsid w:val="00FC04CC"/>
    <w:rsid w:val="00FC2066"/>
    <w:rsid w:val="00FC6358"/>
    <w:rsid w:val="00FD1381"/>
    <w:rsid w:val="00FD320D"/>
    <w:rsid w:val="00FE1B98"/>
    <w:rsid w:val="00FE23DE"/>
    <w:rsid w:val="00FE7E56"/>
    <w:rsid w:val="00FF1801"/>
    <w:rsid w:val="00FF64E5"/>
    <w:rsid w:val="00FF6842"/>
    <w:rsid w:val="00FF6883"/>
    <w:rsid w:val="0106663B"/>
    <w:rsid w:val="017C196D"/>
    <w:rsid w:val="021F6D86"/>
    <w:rsid w:val="026330F3"/>
    <w:rsid w:val="052160AC"/>
    <w:rsid w:val="0539619A"/>
    <w:rsid w:val="08A64EAC"/>
    <w:rsid w:val="095E79A1"/>
    <w:rsid w:val="0BD3755E"/>
    <w:rsid w:val="0DB3584C"/>
    <w:rsid w:val="0E163DF4"/>
    <w:rsid w:val="0E7D4A39"/>
    <w:rsid w:val="0EBE42C2"/>
    <w:rsid w:val="0F1E241C"/>
    <w:rsid w:val="10EC1F8D"/>
    <w:rsid w:val="12475587"/>
    <w:rsid w:val="13BA03CD"/>
    <w:rsid w:val="13CB2A49"/>
    <w:rsid w:val="14B71810"/>
    <w:rsid w:val="156652A6"/>
    <w:rsid w:val="15BD4C9F"/>
    <w:rsid w:val="15F40F71"/>
    <w:rsid w:val="1625133B"/>
    <w:rsid w:val="164C5DEB"/>
    <w:rsid w:val="18FD5545"/>
    <w:rsid w:val="1A2D0068"/>
    <w:rsid w:val="1A82584D"/>
    <w:rsid w:val="1AA05C35"/>
    <w:rsid w:val="1E4476CB"/>
    <w:rsid w:val="204D7D98"/>
    <w:rsid w:val="20B742D1"/>
    <w:rsid w:val="235932F1"/>
    <w:rsid w:val="25C03667"/>
    <w:rsid w:val="2BB7496D"/>
    <w:rsid w:val="2BEF7B12"/>
    <w:rsid w:val="309A1B96"/>
    <w:rsid w:val="366A09FC"/>
    <w:rsid w:val="37FA52E4"/>
    <w:rsid w:val="382602FC"/>
    <w:rsid w:val="38A710DA"/>
    <w:rsid w:val="3AF77A6B"/>
    <w:rsid w:val="3DA443AE"/>
    <w:rsid w:val="41E01F77"/>
    <w:rsid w:val="45425C2D"/>
    <w:rsid w:val="48490323"/>
    <w:rsid w:val="486A7235"/>
    <w:rsid w:val="4B7E4033"/>
    <w:rsid w:val="4B8D0146"/>
    <w:rsid w:val="4C6D1E43"/>
    <w:rsid w:val="4EA31B8D"/>
    <w:rsid w:val="4F9C3315"/>
    <w:rsid w:val="519623EB"/>
    <w:rsid w:val="52C80D51"/>
    <w:rsid w:val="546C0184"/>
    <w:rsid w:val="57140074"/>
    <w:rsid w:val="58B31002"/>
    <w:rsid w:val="5A27111D"/>
    <w:rsid w:val="5BE62DD4"/>
    <w:rsid w:val="5E640BEB"/>
    <w:rsid w:val="5FD42BF4"/>
    <w:rsid w:val="60495559"/>
    <w:rsid w:val="60E21F13"/>
    <w:rsid w:val="62E84D64"/>
    <w:rsid w:val="631C4657"/>
    <w:rsid w:val="64A81B03"/>
    <w:rsid w:val="654B7431"/>
    <w:rsid w:val="68C06A08"/>
    <w:rsid w:val="6CCE7942"/>
    <w:rsid w:val="739E0C4B"/>
    <w:rsid w:val="74C531F6"/>
    <w:rsid w:val="75C67438"/>
    <w:rsid w:val="75EF56F2"/>
    <w:rsid w:val="7B4A7005"/>
    <w:rsid w:val="7BF102DB"/>
    <w:rsid w:val="7C5B4B65"/>
    <w:rsid w:val="7D8857C4"/>
    <w:rsid w:val="7EC70B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8"/>
    <w:qFormat/>
    <w:uiPriority w:val="0"/>
    <w:pPr>
      <w:keepNext/>
      <w:keepLines/>
      <w:spacing w:before="340" w:after="330" w:line="578" w:lineRule="auto"/>
      <w:outlineLvl w:val="0"/>
    </w:pPr>
    <w:rPr>
      <w:b/>
      <w:bCs/>
      <w:kern w:val="44"/>
      <w:sz w:val="44"/>
      <w:szCs w:val="44"/>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5"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link w:val="155"/>
    <w:semiHidden/>
    <w:unhideWhenUsed/>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index 4"/>
    <w:basedOn w:val="1"/>
    <w:next w:val="1"/>
    <w:qFormat/>
    <w:uiPriority w:val="0"/>
    <w:pPr>
      <w:ind w:left="840" w:hanging="210"/>
      <w:jc w:val="left"/>
    </w:pPr>
    <w:rPr>
      <w:rFonts w:ascii="Calibri" w:hAnsi="Calibri"/>
      <w:sz w:val="20"/>
      <w:szCs w:val="20"/>
    </w:rPr>
  </w:style>
  <w:style w:type="paragraph" w:styleId="11">
    <w:name w:val="toc 5"/>
    <w:basedOn w:val="1"/>
    <w:next w:val="1"/>
    <w:semiHidden/>
    <w:qFormat/>
    <w:uiPriority w:val="0"/>
    <w:pPr>
      <w:tabs>
        <w:tab w:val="right" w:leader="dot" w:pos="9241"/>
      </w:tabs>
      <w:ind w:firstLine="300" w:firstLineChars="300"/>
      <w:jc w:val="left"/>
    </w:pPr>
    <w:rPr>
      <w:rFonts w:ascii="宋体"/>
      <w:szCs w:val="21"/>
    </w:rPr>
  </w:style>
  <w:style w:type="paragraph" w:styleId="12">
    <w:name w:val="toc 3"/>
    <w:basedOn w:val="1"/>
    <w:next w:val="1"/>
    <w:qFormat/>
    <w:uiPriority w:val="39"/>
    <w:pPr>
      <w:tabs>
        <w:tab w:val="right" w:leader="dot" w:pos="9241"/>
      </w:tabs>
      <w:ind w:firstLine="102" w:firstLineChars="100"/>
      <w:jc w:val="left"/>
    </w:pPr>
    <w:rPr>
      <w:rFonts w:ascii="宋体"/>
      <w:szCs w:val="21"/>
    </w:rPr>
  </w:style>
  <w:style w:type="paragraph" w:styleId="13">
    <w:name w:val="toc 8"/>
    <w:basedOn w:val="1"/>
    <w:next w:val="1"/>
    <w:semiHidden/>
    <w:qFormat/>
    <w:uiPriority w:val="0"/>
    <w:pPr>
      <w:tabs>
        <w:tab w:val="right" w:leader="dot" w:pos="9241"/>
      </w:tabs>
      <w:ind w:firstLine="607" w:firstLineChars="600"/>
      <w:jc w:val="left"/>
    </w:pPr>
    <w:rPr>
      <w:rFonts w:ascii="宋体"/>
      <w:szCs w:val="21"/>
    </w:rPr>
  </w:style>
  <w:style w:type="paragraph" w:styleId="14">
    <w:name w:val="index 3"/>
    <w:basedOn w:val="1"/>
    <w:next w:val="1"/>
    <w:qFormat/>
    <w:uiPriority w:val="0"/>
    <w:pPr>
      <w:ind w:left="630" w:hanging="210"/>
      <w:jc w:val="left"/>
    </w:pPr>
    <w:rPr>
      <w:rFonts w:ascii="Calibri" w:hAnsi="Calibri"/>
      <w:sz w:val="20"/>
      <w:szCs w:val="20"/>
    </w:rPr>
  </w:style>
  <w:style w:type="paragraph" w:styleId="15">
    <w:name w:val="endnote text"/>
    <w:basedOn w:val="1"/>
    <w:semiHidden/>
    <w:qFormat/>
    <w:uiPriority w:val="0"/>
    <w:pPr>
      <w:snapToGrid w:val="0"/>
      <w:jc w:val="left"/>
    </w:pPr>
  </w:style>
  <w:style w:type="paragraph" w:styleId="16">
    <w:name w:val="Balloon Text"/>
    <w:basedOn w:val="1"/>
    <w:link w:val="142"/>
    <w:qFormat/>
    <w:uiPriority w:val="0"/>
    <w:rPr>
      <w:sz w:val="18"/>
      <w:szCs w:val="18"/>
    </w:rPr>
  </w:style>
  <w:style w:type="paragraph" w:styleId="17">
    <w:name w:val="footer"/>
    <w:basedOn w:val="1"/>
    <w:qFormat/>
    <w:uiPriority w:val="0"/>
    <w:pPr>
      <w:snapToGrid w:val="0"/>
      <w:ind w:right="210" w:rightChars="100"/>
      <w:jc w:val="right"/>
    </w:pPr>
    <w:rPr>
      <w:sz w:val="18"/>
      <w:szCs w:val="18"/>
    </w:rPr>
  </w:style>
  <w:style w:type="paragraph" w:styleId="18">
    <w:name w:val="header"/>
    <w:basedOn w:val="1"/>
    <w:qFormat/>
    <w:uiPriority w:val="0"/>
    <w:pPr>
      <w:snapToGrid w:val="0"/>
      <w:jc w:val="left"/>
    </w:pPr>
    <w:rPr>
      <w:sz w:val="18"/>
      <w:szCs w:val="18"/>
    </w:rPr>
  </w:style>
  <w:style w:type="paragraph" w:styleId="19">
    <w:name w:val="toc 1"/>
    <w:basedOn w:val="1"/>
    <w:next w:val="1"/>
    <w:qFormat/>
    <w:uiPriority w:val="39"/>
    <w:pPr>
      <w:tabs>
        <w:tab w:val="right" w:leader="dot" w:pos="9241"/>
      </w:tabs>
      <w:spacing w:beforeLines="25" w:afterLines="25"/>
      <w:jc w:val="left"/>
    </w:pPr>
    <w:rPr>
      <w:rFonts w:ascii="宋体"/>
      <w:szCs w:val="21"/>
    </w:rPr>
  </w:style>
  <w:style w:type="paragraph" w:styleId="20">
    <w:name w:val="toc 4"/>
    <w:basedOn w:val="1"/>
    <w:next w:val="1"/>
    <w:semiHidden/>
    <w:qFormat/>
    <w:uiPriority w:val="0"/>
    <w:pPr>
      <w:tabs>
        <w:tab w:val="right" w:leader="dot" w:pos="9241"/>
      </w:tabs>
      <w:ind w:firstLine="198"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4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3"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qFormat/>
    <w:uiPriority w:val="39"/>
    <w:pPr>
      <w:tabs>
        <w:tab w:val="right" w:leader="dot" w:pos="9241"/>
      </w:tabs>
    </w:pPr>
    <w:rPr>
      <w:rFonts w:ascii="宋体"/>
      <w:szCs w:val="21"/>
    </w:rPr>
  </w:style>
  <w:style w:type="paragraph" w:styleId="29">
    <w:name w:val="toc 9"/>
    <w:basedOn w:val="1"/>
    <w:next w:val="1"/>
    <w:semiHidden/>
    <w:qFormat/>
    <w:uiPriority w:val="0"/>
    <w:pPr>
      <w:ind w:left="1470"/>
      <w:jc w:val="left"/>
    </w:pPr>
    <w:rPr>
      <w:sz w:val="20"/>
      <w:szCs w:val="20"/>
    </w:rPr>
  </w:style>
  <w:style w:type="paragraph" w:styleId="30">
    <w:name w:val="Normal (Web)"/>
    <w:basedOn w:val="1"/>
    <w:semiHidden/>
    <w:unhideWhenUsed/>
    <w:qFormat/>
    <w:uiPriority w:val="99"/>
    <w:pPr>
      <w:spacing w:beforeAutospacing="1" w:afterAutospacing="1"/>
      <w:jc w:val="left"/>
    </w:pPr>
    <w:rPr>
      <w:kern w:val="0"/>
      <w:sz w:val="24"/>
    </w:rPr>
  </w:style>
  <w:style w:type="paragraph" w:styleId="31">
    <w:name w:val="index 2"/>
    <w:basedOn w:val="1"/>
    <w:next w:val="1"/>
    <w:qFormat/>
    <w:uiPriority w:val="0"/>
    <w:pPr>
      <w:ind w:left="420" w:hanging="210"/>
      <w:jc w:val="left"/>
    </w:pPr>
    <w:rPr>
      <w:rFonts w:ascii="Calibri" w:hAnsi="Calibri"/>
      <w:sz w:val="20"/>
      <w:szCs w:val="20"/>
    </w:rPr>
  </w:style>
  <w:style w:type="paragraph" w:styleId="32">
    <w:name w:val="annotation subject"/>
    <w:basedOn w:val="8"/>
    <w:next w:val="8"/>
    <w:link w:val="156"/>
    <w:semiHidden/>
    <w:unhideWhenUsed/>
    <w:qFormat/>
    <w:uiPriority w:val="0"/>
    <w:rPr>
      <w:b/>
      <w:bCs/>
    </w:rPr>
  </w:style>
  <w:style w:type="table" w:styleId="34">
    <w:name w:val="Table Grid"/>
    <w:basedOn w:val="33"/>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endnote reference"/>
    <w:semiHidden/>
    <w:qFormat/>
    <w:uiPriority w:val="0"/>
    <w:rPr>
      <w:vertAlign w:val="superscript"/>
    </w:rPr>
  </w:style>
  <w:style w:type="character" w:styleId="37">
    <w:name w:val="page number"/>
    <w:qFormat/>
    <w:uiPriority w:val="0"/>
    <w:rPr>
      <w:rFonts w:ascii="Times New Roman" w:hAnsi="Times New Roman" w:eastAsia="宋体"/>
      <w:sz w:val="18"/>
    </w:rPr>
  </w:style>
  <w:style w:type="character" w:styleId="38">
    <w:name w:val="FollowedHyperlink"/>
    <w:qFormat/>
    <w:uiPriority w:val="0"/>
    <w:rPr>
      <w:color w:val="800080"/>
      <w:u w:val="single"/>
    </w:rPr>
  </w:style>
  <w:style w:type="character" w:styleId="39">
    <w:name w:val="Hyperlink"/>
    <w:qFormat/>
    <w:uiPriority w:val="99"/>
    <w:rPr>
      <w:color w:val="0000FF"/>
      <w:spacing w:val="0"/>
      <w:w w:val="100"/>
      <w:szCs w:val="21"/>
      <w:u w:val="single"/>
    </w:rPr>
  </w:style>
  <w:style w:type="character" w:styleId="40">
    <w:name w:val="annotation reference"/>
    <w:basedOn w:val="35"/>
    <w:semiHidden/>
    <w:unhideWhenUsed/>
    <w:qFormat/>
    <w:uiPriority w:val="0"/>
    <w:rPr>
      <w:sz w:val="21"/>
      <w:szCs w:val="21"/>
    </w:rPr>
  </w:style>
  <w:style w:type="character" w:styleId="41">
    <w:name w:val="footnote reference"/>
    <w:semiHidden/>
    <w:qFormat/>
    <w:uiPriority w:val="0"/>
    <w:rPr>
      <w:vertAlign w:val="superscript"/>
    </w:rPr>
  </w:style>
  <w:style w:type="character" w:customStyle="1" w:styleId="42">
    <w:name w:val="段 Char"/>
    <w:link w:val="23"/>
    <w:qFormat/>
    <w:uiPriority w:val="0"/>
    <w:rPr>
      <w:rFonts w:ascii="宋体"/>
      <w:sz w:val="21"/>
      <w:lang w:val="en-US" w:eastAsia="zh-CN" w:bidi="ar-SA"/>
    </w:rPr>
  </w:style>
  <w:style w:type="paragraph" w:customStyle="1" w:styleId="43">
    <w:name w:val="一级条标题"/>
    <w:next w:val="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章标题"/>
    <w:next w:val="23"/>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7">
    <w:name w:val="二级条标题"/>
    <w:basedOn w:val="43"/>
    <w:next w:val="1"/>
    <w:qFormat/>
    <w:uiPriority w:val="0"/>
    <w:pPr>
      <w:numPr>
        <w:ilvl w:val="0"/>
        <w:numId w:val="0"/>
      </w:numPr>
      <w:spacing w:before="50" w:after="50"/>
      <w:outlineLvl w:val="3"/>
    </w:pPr>
  </w:style>
  <w:style w:type="paragraph" w:customStyle="1" w:styleId="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9">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0">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1">
    <w:name w:val="目次、标准名称标题"/>
    <w:basedOn w:val="1"/>
    <w:next w:val="23"/>
    <w:link w:val="14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2">
    <w:name w:val="三级条标题"/>
    <w:basedOn w:val="47"/>
    <w:next w:val="1"/>
    <w:qFormat/>
    <w:uiPriority w:val="0"/>
    <w:pPr>
      <w:numPr>
        <w:ilvl w:val="3"/>
      </w:numPr>
      <w:outlineLvl w:val="4"/>
    </w:pPr>
  </w:style>
  <w:style w:type="paragraph" w:customStyle="1" w:styleId="53">
    <w:name w:val="示例"/>
    <w:next w:val="54"/>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5">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6">
    <w:name w:val="四级条标题"/>
    <w:basedOn w:val="52"/>
    <w:next w:val="1"/>
    <w:qFormat/>
    <w:uiPriority w:val="0"/>
    <w:pPr>
      <w:numPr>
        <w:ilvl w:val="4"/>
      </w:numPr>
      <w:outlineLvl w:val="5"/>
    </w:pPr>
  </w:style>
  <w:style w:type="paragraph" w:customStyle="1" w:styleId="57">
    <w:name w:val="五级条标题"/>
    <w:basedOn w:val="56"/>
    <w:next w:val="23"/>
    <w:qFormat/>
    <w:uiPriority w:val="0"/>
    <w:pPr>
      <w:numPr>
        <w:ilvl w:val="5"/>
      </w:numPr>
      <w:outlineLvl w:val="6"/>
    </w:pPr>
  </w:style>
  <w:style w:type="paragraph" w:customStyle="1" w:styleId="58">
    <w:name w:val="注："/>
    <w:next w:val="23"/>
    <w:link w:val="150"/>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9">
    <w:name w:val="注×："/>
    <w:qFormat/>
    <w:uiPriority w:val="0"/>
    <w:pPr>
      <w:widowControl w:val="0"/>
      <w:numPr>
        <w:ilvl w:val="0"/>
        <w:numId w:val="7"/>
      </w:numPr>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0">
    <w:name w:val="字母编号列项（一级）"/>
    <w:link w:val="151"/>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1">
    <w:name w:val="列项◆（三级）"/>
    <w:basedOn w:val="1"/>
    <w:qFormat/>
    <w:uiPriority w:val="0"/>
    <w:pPr>
      <w:numPr>
        <w:ilvl w:val="2"/>
        <w:numId w:val="3"/>
      </w:numPr>
    </w:pPr>
    <w:rPr>
      <w:rFonts w:ascii="宋体"/>
      <w:szCs w:val="21"/>
    </w:rPr>
  </w:style>
  <w:style w:type="paragraph" w:customStyle="1" w:styleId="62">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3">
    <w:name w:val="示例×："/>
    <w:basedOn w:val="46"/>
    <w:qFormat/>
    <w:uiPriority w:val="0"/>
    <w:pPr>
      <w:numPr>
        <w:numId w:val="8"/>
      </w:numPr>
      <w:spacing w:beforeLines="0" w:afterLines="0"/>
      <w:outlineLvl w:val="9"/>
    </w:pPr>
    <w:rPr>
      <w:rFonts w:ascii="宋体" w:eastAsia="宋体"/>
      <w:sz w:val="18"/>
      <w:szCs w:val="18"/>
    </w:rPr>
  </w:style>
  <w:style w:type="paragraph" w:customStyle="1" w:styleId="64">
    <w:name w:val="二级无"/>
    <w:basedOn w:val="47"/>
    <w:qFormat/>
    <w:uiPriority w:val="0"/>
    <w:pPr>
      <w:spacing w:beforeLines="0" w:afterLines="0"/>
    </w:pPr>
    <w:rPr>
      <w:rFonts w:ascii="宋体" w:eastAsia="宋体"/>
    </w:rPr>
  </w:style>
  <w:style w:type="paragraph" w:customStyle="1" w:styleId="65">
    <w:name w:val="注：（正文）"/>
    <w:basedOn w:val="58"/>
    <w:next w:val="23"/>
    <w:qFormat/>
    <w:uiPriority w:val="0"/>
    <w:pPr>
      <w:numPr>
        <w:numId w:val="9"/>
      </w:numPr>
      <w:ind w:left="726" w:hanging="363"/>
    </w:pPr>
  </w:style>
  <w:style w:type="paragraph" w:customStyle="1" w:styleId="66">
    <w:name w:val="注×：（正文）"/>
    <w:qFormat/>
    <w:uiPriority w:val="0"/>
    <w:pPr>
      <w:numPr>
        <w:ilvl w:val="0"/>
        <w:numId w:val="10"/>
      </w:numPr>
      <w:ind w:left="811" w:hanging="448"/>
      <w:jc w:val="both"/>
    </w:pPr>
    <w:rPr>
      <w:rFonts w:ascii="宋体" w:hAnsi="Times New Roman" w:eastAsia="宋体" w:cs="Times New Roman"/>
      <w:sz w:val="18"/>
      <w:szCs w:val="18"/>
      <w:lang w:val="en-US" w:eastAsia="zh-CN" w:bidi="ar-SA"/>
    </w:rPr>
  </w:style>
  <w:style w:type="paragraph" w:customStyle="1" w:styleId="6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0">
    <w:name w:val="标准书眉_偶数页"/>
    <w:basedOn w:val="45"/>
    <w:next w:val="1"/>
    <w:qFormat/>
    <w:uiPriority w:val="0"/>
    <w:pPr>
      <w:jc w:val="left"/>
    </w:pPr>
  </w:style>
  <w:style w:type="paragraph" w:customStyle="1" w:styleId="71">
    <w:name w:val="标准书眉一"/>
    <w:qFormat/>
    <w:uiPriority w:val="0"/>
    <w:pPr>
      <w:jc w:val="both"/>
    </w:pPr>
    <w:rPr>
      <w:rFonts w:ascii="Times New Roman" w:hAnsi="Times New Roman" w:eastAsia="宋体" w:cs="Times New Roman"/>
      <w:lang w:val="en-US" w:eastAsia="zh-CN" w:bidi="ar-SA"/>
    </w:rPr>
  </w:style>
  <w:style w:type="paragraph" w:customStyle="1" w:styleId="72">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3">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4">
    <w:name w:val="发布"/>
    <w:qFormat/>
    <w:uiPriority w:val="0"/>
    <w:rPr>
      <w:rFonts w:ascii="黑体" w:eastAsia="黑体"/>
      <w:spacing w:val="85"/>
      <w:w w:val="100"/>
      <w:position w:val="3"/>
      <w:sz w:val="28"/>
      <w:szCs w:val="28"/>
    </w:rPr>
  </w:style>
  <w:style w:type="paragraph" w:customStyle="1" w:styleId="75">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0">
    <w:name w:val="封面标准英文名称"/>
    <w:basedOn w:val="79"/>
    <w:qFormat/>
    <w:uiPriority w:val="0"/>
    <w:pPr>
      <w:framePr w:wrap="around"/>
      <w:spacing w:before="370" w:line="400" w:lineRule="exact"/>
    </w:pPr>
    <w:rPr>
      <w:rFonts w:ascii="Times New Roman"/>
      <w:sz w:val="28"/>
      <w:szCs w:val="28"/>
    </w:rPr>
  </w:style>
  <w:style w:type="paragraph" w:customStyle="1" w:styleId="81">
    <w:name w:val="封面一致性程度标识"/>
    <w:basedOn w:val="80"/>
    <w:qFormat/>
    <w:uiPriority w:val="0"/>
    <w:pPr>
      <w:framePr w:wrap="around"/>
      <w:spacing w:before="440"/>
    </w:pPr>
    <w:rPr>
      <w:rFonts w:ascii="宋体" w:eastAsia="宋体"/>
    </w:rPr>
  </w:style>
  <w:style w:type="paragraph" w:customStyle="1" w:styleId="82">
    <w:name w:val="封面标准文稿类别"/>
    <w:basedOn w:val="81"/>
    <w:qFormat/>
    <w:uiPriority w:val="0"/>
    <w:pPr>
      <w:framePr w:wrap="around"/>
      <w:spacing w:after="160" w:line="240" w:lineRule="auto"/>
    </w:pPr>
    <w:rPr>
      <w:sz w:val="24"/>
    </w:rPr>
  </w:style>
  <w:style w:type="paragraph" w:customStyle="1" w:styleId="83">
    <w:name w:val="封面标准文稿编辑信息"/>
    <w:basedOn w:val="82"/>
    <w:qFormat/>
    <w:uiPriority w:val="0"/>
    <w:pPr>
      <w:framePr w:wrap="around"/>
      <w:spacing w:before="180" w:line="180" w:lineRule="exact"/>
    </w:pPr>
    <w:rPr>
      <w:sz w:val="21"/>
    </w:rPr>
  </w:style>
  <w:style w:type="paragraph" w:customStyle="1" w:styleId="84">
    <w:name w:val="封面正文"/>
    <w:qFormat/>
    <w:uiPriority w:val="0"/>
    <w:pPr>
      <w:jc w:val="both"/>
    </w:pPr>
    <w:rPr>
      <w:rFonts w:ascii="Times New Roman" w:hAnsi="Times New Roman" w:eastAsia="宋体" w:cs="Times New Roman"/>
      <w:lang w:val="en-US" w:eastAsia="zh-CN" w:bidi="ar-SA"/>
    </w:rPr>
  </w:style>
  <w:style w:type="paragraph" w:customStyle="1" w:styleId="85">
    <w:name w:val="附录标识"/>
    <w:basedOn w:val="1"/>
    <w:next w:val="23"/>
    <w:link w:val="147"/>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6">
    <w:name w:val="附录标题"/>
    <w:basedOn w:val="23"/>
    <w:next w:val="23"/>
    <w:link w:val="146"/>
    <w:qFormat/>
    <w:uiPriority w:val="0"/>
    <w:pPr>
      <w:ind w:firstLine="0" w:firstLineChars="0"/>
      <w:jc w:val="center"/>
    </w:pPr>
    <w:rPr>
      <w:rFonts w:ascii="黑体" w:eastAsia="黑体"/>
    </w:rPr>
  </w:style>
  <w:style w:type="paragraph" w:customStyle="1" w:styleId="87">
    <w:name w:val="附录表标号"/>
    <w:basedOn w:val="1"/>
    <w:next w:val="23"/>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8">
    <w:name w:val="附录表标题"/>
    <w:basedOn w:val="1"/>
    <w:next w:val="23"/>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89">
    <w:name w:val="附录二级条标题"/>
    <w:basedOn w:val="1"/>
    <w:next w:val="23"/>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0">
    <w:name w:val="附录二级无"/>
    <w:basedOn w:val="89"/>
    <w:qFormat/>
    <w:uiPriority w:val="0"/>
    <w:pPr>
      <w:tabs>
        <w:tab w:val="clear" w:pos="360"/>
      </w:tabs>
      <w:spacing w:beforeLines="0" w:afterLines="0"/>
    </w:pPr>
    <w:rPr>
      <w:rFonts w:ascii="宋体" w:eastAsia="宋体"/>
      <w:szCs w:val="21"/>
    </w:rPr>
  </w:style>
  <w:style w:type="paragraph" w:customStyle="1" w:styleId="91">
    <w:name w:val="附录公式"/>
    <w:basedOn w:val="23"/>
    <w:next w:val="23"/>
    <w:link w:val="92"/>
    <w:qFormat/>
    <w:uiPriority w:val="0"/>
  </w:style>
  <w:style w:type="character" w:customStyle="1" w:styleId="92">
    <w:name w:val="附录公式 Char"/>
    <w:basedOn w:val="42"/>
    <w:link w:val="91"/>
    <w:qFormat/>
    <w:uiPriority w:val="0"/>
    <w:rPr>
      <w:rFonts w:ascii="宋体"/>
      <w:sz w:val="21"/>
      <w:lang w:val="en-US" w:eastAsia="zh-CN" w:bidi="ar-SA"/>
    </w:rPr>
  </w:style>
  <w:style w:type="paragraph" w:customStyle="1" w:styleId="93">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94">
    <w:name w:val="附录三级条标题"/>
    <w:basedOn w:val="89"/>
    <w:next w:val="23"/>
    <w:qFormat/>
    <w:uiPriority w:val="0"/>
    <w:pPr>
      <w:numPr>
        <w:ilvl w:val="4"/>
      </w:numPr>
      <w:outlineLvl w:val="4"/>
    </w:pPr>
  </w:style>
  <w:style w:type="paragraph" w:customStyle="1" w:styleId="95">
    <w:name w:val="附录三级无"/>
    <w:basedOn w:val="94"/>
    <w:qFormat/>
    <w:uiPriority w:val="0"/>
    <w:pPr>
      <w:tabs>
        <w:tab w:val="clear" w:pos="360"/>
      </w:tabs>
      <w:spacing w:beforeLines="0" w:afterLines="0"/>
    </w:pPr>
    <w:rPr>
      <w:rFonts w:ascii="宋体" w:eastAsia="宋体"/>
      <w:szCs w:val="21"/>
    </w:rPr>
  </w:style>
  <w:style w:type="paragraph" w:customStyle="1" w:styleId="96">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7">
    <w:name w:val="附录四级条标题"/>
    <w:basedOn w:val="94"/>
    <w:next w:val="23"/>
    <w:qFormat/>
    <w:uiPriority w:val="0"/>
    <w:pPr>
      <w:numPr>
        <w:ilvl w:val="5"/>
      </w:numPr>
      <w:outlineLvl w:val="5"/>
    </w:pPr>
  </w:style>
  <w:style w:type="paragraph" w:customStyle="1" w:styleId="98">
    <w:name w:val="附录四级无"/>
    <w:basedOn w:val="97"/>
    <w:qFormat/>
    <w:uiPriority w:val="0"/>
    <w:pPr>
      <w:tabs>
        <w:tab w:val="clear" w:pos="360"/>
      </w:tabs>
      <w:spacing w:beforeLines="0" w:afterLines="0"/>
    </w:pPr>
    <w:rPr>
      <w:rFonts w:ascii="宋体" w:eastAsia="宋体"/>
      <w:szCs w:val="21"/>
    </w:rPr>
  </w:style>
  <w:style w:type="paragraph" w:customStyle="1" w:styleId="99">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0">
    <w:name w:val="附录图标题"/>
    <w:basedOn w:val="1"/>
    <w:next w:val="23"/>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101">
    <w:name w:val="附录五级条标题"/>
    <w:basedOn w:val="97"/>
    <w:next w:val="23"/>
    <w:qFormat/>
    <w:uiPriority w:val="0"/>
    <w:pPr>
      <w:numPr>
        <w:ilvl w:val="6"/>
      </w:numPr>
      <w:outlineLvl w:val="6"/>
    </w:pPr>
  </w:style>
  <w:style w:type="paragraph" w:customStyle="1" w:styleId="102">
    <w:name w:val="附录五级无"/>
    <w:basedOn w:val="101"/>
    <w:qFormat/>
    <w:uiPriority w:val="0"/>
    <w:pPr>
      <w:tabs>
        <w:tab w:val="clear" w:pos="360"/>
      </w:tabs>
      <w:spacing w:beforeLines="0" w:afterLines="0"/>
    </w:pPr>
    <w:rPr>
      <w:rFonts w:ascii="宋体" w:eastAsia="宋体"/>
      <w:szCs w:val="21"/>
    </w:rPr>
  </w:style>
  <w:style w:type="paragraph" w:customStyle="1" w:styleId="103">
    <w:name w:val="附录章标题"/>
    <w:next w:val="23"/>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4">
    <w:name w:val="附录一级条标题"/>
    <w:basedOn w:val="103"/>
    <w:next w:val="23"/>
    <w:link w:val="145"/>
    <w:qFormat/>
    <w:uiPriority w:val="0"/>
    <w:pPr>
      <w:numPr>
        <w:ilvl w:val="2"/>
      </w:numPr>
      <w:autoSpaceDN w:val="0"/>
      <w:spacing w:beforeLines="50" w:afterLines="50"/>
      <w:outlineLvl w:val="2"/>
    </w:pPr>
  </w:style>
  <w:style w:type="paragraph" w:customStyle="1" w:styleId="105">
    <w:name w:val="附录一级无"/>
    <w:basedOn w:val="104"/>
    <w:qFormat/>
    <w:uiPriority w:val="0"/>
    <w:pPr>
      <w:tabs>
        <w:tab w:val="clear" w:pos="360"/>
      </w:tabs>
      <w:spacing w:beforeLines="0" w:afterLines="0"/>
    </w:pPr>
    <w:rPr>
      <w:rFonts w:ascii="宋体" w:eastAsia="宋体"/>
      <w:szCs w:val="21"/>
    </w:rPr>
  </w:style>
  <w:style w:type="paragraph" w:customStyle="1" w:styleId="106">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0">
    <w:name w:val="其他标准标志"/>
    <w:basedOn w:val="67"/>
    <w:qFormat/>
    <w:uiPriority w:val="0"/>
    <w:pPr>
      <w:framePr w:w="6101" w:wrap="around" w:vAnchor="page" w:hAnchor="page" w:x="4673" w:y="942"/>
    </w:pPr>
    <w:rPr>
      <w:w w:val="130"/>
    </w:rPr>
  </w:style>
  <w:style w:type="paragraph" w:customStyle="1" w:styleId="1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2">
    <w:name w:val="其他发布部门"/>
    <w:basedOn w:val="75"/>
    <w:qFormat/>
    <w:uiPriority w:val="0"/>
    <w:pPr>
      <w:framePr w:wrap="around" w:y="15310"/>
      <w:spacing w:line="0" w:lineRule="atLeast"/>
    </w:pPr>
    <w:rPr>
      <w:rFonts w:ascii="黑体" w:eastAsia="黑体"/>
      <w:b w:val="0"/>
    </w:rPr>
  </w:style>
  <w:style w:type="paragraph" w:customStyle="1" w:styleId="113">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4">
    <w:name w:val="三级无"/>
    <w:basedOn w:val="52"/>
    <w:qFormat/>
    <w:uiPriority w:val="0"/>
    <w:pPr>
      <w:spacing w:beforeLines="0" w:afterLines="0"/>
    </w:pPr>
    <w:rPr>
      <w:rFonts w:ascii="宋体" w:eastAsia="宋体"/>
    </w:rPr>
  </w:style>
  <w:style w:type="paragraph" w:customStyle="1" w:styleId="115">
    <w:name w:val="实施日期"/>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116">
    <w:name w:val="示例后文字"/>
    <w:basedOn w:val="23"/>
    <w:next w:val="23"/>
    <w:qFormat/>
    <w:uiPriority w:val="0"/>
    <w:pPr>
      <w:ind w:firstLine="360"/>
    </w:pPr>
    <w:rPr>
      <w:sz w:val="18"/>
    </w:rPr>
  </w:style>
  <w:style w:type="paragraph" w:customStyle="1" w:styleId="117">
    <w:name w:val="首示例"/>
    <w:next w:val="23"/>
    <w:link w:val="118"/>
    <w:qFormat/>
    <w:uiPriority w:val="0"/>
    <w:pPr>
      <w:tabs>
        <w:tab w:val="left" w:pos="360"/>
      </w:tabs>
    </w:pPr>
    <w:rPr>
      <w:rFonts w:ascii="宋体" w:hAnsi="宋体" w:eastAsia="宋体" w:cs="Times New Roman"/>
      <w:kern w:val="2"/>
      <w:sz w:val="18"/>
      <w:szCs w:val="18"/>
      <w:lang w:val="en-US" w:eastAsia="zh-CN" w:bidi="ar-SA"/>
    </w:rPr>
  </w:style>
  <w:style w:type="character" w:customStyle="1" w:styleId="118">
    <w:name w:val="首示例 Char"/>
    <w:link w:val="117"/>
    <w:qFormat/>
    <w:uiPriority w:val="0"/>
    <w:rPr>
      <w:rFonts w:ascii="宋体" w:hAnsi="宋体"/>
      <w:kern w:val="2"/>
      <w:sz w:val="18"/>
      <w:szCs w:val="18"/>
    </w:rPr>
  </w:style>
  <w:style w:type="paragraph" w:customStyle="1" w:styleId="119">
    <w:name w:val="四级无"/>
    <w:basedOn w:val="56"/>
    <w:qFormat/>
    <w:uiPriority w:val="0"/>
    <w:pPr>
      <w:spacing w:beforeLines="0" w:afterLines="0"/>
    </w:pPr>
    <w:rPr>
      <w:rFonts w:ascii="宋体" w:eastAsia="宋体"/>
    </w:rPr>
  </w:style>
  <w:style w:type="paragraph" w:customStyle="1" w:styleId="120">
    <w:name w:val="条文脚注"/>
    <w:basedOn w:val="24"/>
    <w:qFormat/>
    <w:uiPriority w:val="0"/>
    <w:pPr>
      <w:numPr>
        <w:numId w:val="0"/>
      </w:numPr>
      <w:jc w:val="both"/>
    </w:pPr>
  </w:style>
  <w:style w:type="paragraph" w:customStyle="1" w:styleId="121">
    <w:name w:val="图标脚注说明"/>
    <w:basedOn w:val="23"/>
    <w:qFormat/>
    <w:uiPriority w:val="0"/>
    <w:pPr>
      <w:ind w:left="840" w:hanging="420" w:firstLineChars="0"/>
    </w:pPr>
    <w:rPr>
      <w:sz w:val="18"/>
      <w:szCs w:val="18"/>
    </w:rPr>
  </w:style>
  <w:style w:type="paragraph" w:customStyle="1" w:styleId="122">
    <w:name w:val="图表脚注说明"/>
    <w:basedOn w:val="1"/>
    <w:qFormat/>
    <w:uiPriority w:val="0"/>
    <w:pPr>
      <w:numPr>
        <w:ilvl w:val="0"/>
        <w:numId w:val="15"/>
      </w:numPr>
    </w:pPr>
    <w:rPr>
      <w:rFonts w:ascii="宋体"/>
      <w:sz w:val="18"/>
      <w:szCs w:val="18"/>
    </w:rPr>
  </w:style>
  <w:style w:type="paragraph" w:customStyle="1" w:styleId="123">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5">
    <w:name w:val="五级无"/>
    <w:basedOn w:val="57"/>
    <w:qFormat/>
    <w:uiPriority w:val="0"/>
    <w:pPr>
      <w:spacing w:beforeLines="0" w:afterLines="0"/>
    </w:pPr>
    <w:rPr>
      <w:rFonts w:ascii="宋体" w:eastAsia="宋体"/>
    </w:rPr>
  </w:style>
  <w:style w:type="paragraph" w:customStyle="1" w:styleId="126">
    <w:name w:val="一级无"/>
    <w:basedOn w:val="43"/>
    <w:qFormat/>
    <w:uiPriority w:val="0"/>
    <w:pPr>
      <w:spacing w:beforeLines="0" w:afterLines="0"/>
    </w:pPr>
    <w:rPr>
      <w:rFonts w:ascii="宋体" w:eastAsia="宋体"/>
    </w:rPr>
  </w:style>
  <w:style w:type="paragraph" w:customStyle="1" w:styleId="127">
    <w:name w:val="正文表标题"/>
    <w:next w:val="23"/>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28">
    <w:name w:val="正文公式编号制表符"/>
    <w:basedOn w:val="23"/>
    <w:next w:val="23"/>
    <w:qFormat/>
    <w:uiPriority w:val="0"/>
    <w:pPr>
      <w:ind w:firstLine="0" w:firstLineChars="0"/>
    </w:pPr>
  </w:style>
  <w:style w:type="paragraph" w:customStyle="1" w:styleId="129">
    <w:name w:val="正文图标题"/>
    <w:next w:val="23"/>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30">
    <w:name w:val="终结线"/>
    <w:basedOn w:val="1"/>
    <w:qFormat/>
    <w:uiPriority w:val="0"/>
    <w:pPr>
      <w:framePr w:hSpace="181" w:vSpace="181" w:wrap="around" w:vAnchor="text" w:hAnchor="margin" w:xAlign="center" w:y="285"/>
    </w:pPr>
  </w:style>
  <w:style w:type="paragraph" w:customStyle="1" w:styleId="131">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132">
    <w:name w:val="其他实施日期"/>
    <w:basedOn w:val="115"/>
    <w:qFormat/>
    <w:uiPriority w:val="0"/>
    <w:pPr>
      <w:framePr w:wrap="around"/>
    </w:pPr>
  </w:style>
  <w:style w:type="paragraph" w:customStyle="1" w:styleId="133">
    <w:name w:val="封面标准名称2"/>
    <w:basedOn w:val="79"/>
    <w:qFormat/>
    <w:uiPriority w:val="0"/>
    <w:pPr>
      <w:framePr w:wrap="around" w:y="4469"/>
      <w:spacing w:beforeLines="630"/>
    </w:pPr>
  </w:style>
  <w:style w:type="paragraph" w:customStyle="1" w:styleId="134">
    <w:name w:val="封面标准英文名称2"/>
    <w:basedOn w:val="80"/>
    <w:qFormat/>
    <w:uiPriority w:val="0"/>
    <w:pPr>
      <w:framePr w:wrap="around" w:y="4469"/>
    </w:pPr>
  </w:style>
  <w:style w:type="paragraph" w:customStyle="1" w:styleId="135">
    <w:name w:val="封面一致性程度标识2"/>
    <w:basedOn w:val="81"/>
    <w:qFormat/>
    <w:uiPriority w:val="0"/>
    <w:pPr>
      <w:framePr w:wrap="around" w:y="4469"/>
    </w:pPr>
  </w:style>
  <w:style w:type="paragraph" w:customStyle="1" w:styleId="136">
    <w:name w:val="封面标准文稿类别2"/>
    <w:basedOn w:val="82"/>
    <w:qFormat/>
    <w:uiPriority w:val="0"/>
    <w:pPr>
      <w:framePr w:wrap="around" w:y="4469"/>
    </w:pPr>
  </w:style>
  <w:style w:type="paragraph" w:customStyle="1" w:styleId="137">
    <w:name w:val="封面标准文稿编辑信息2"/>
    <w:basedOn w:val="83"/>
    <w:qFormat/>
    <w:uiPriority w:val="0"/>
    <w:pPr>
      <w:framePr w:wrap="around" w:y="4469"/>
    </w:pPr>
  </w:style>
  <w:style w:type="paragraph" w:customStyle="1" w:styleId="138">
    <w:name w:val="标准名称"/>
    <w:basedOn w:val="51"/>
    <w:link w:val="141"/>
    <w:qFormat/>
    <w:uiPriority w:val="0"/>
  </w:style>
  <w:style w:type="character" w:styleId="139">
    <w:name w:val="Placeholder Text"/>
    <w:basedOn w:val="35"/>
    <w:semiHidden/>
    <w:qFormat/>
    <w:uiPriority w:val="99"/>
    <w:rPr>
      <w:color w:val="808080"/>
    </w:rPr>
  </w:style>
  <w:style w:type="character" w:customStyle="1" w:styleId="140">
    <w:name w:val="目次、标准名称标题 Char"/>
    <w:basedOn w:val="35"/>
    <w:link w:val="51"/>
    <w:qFormat/>
    <w:uiPriority w:val="0"/>
    <w:rPr>
      <w:rFonts w:ascii="黑体" w:eastAsia="黑体"/>
      <w:sz w:val="32"/>
      <w:shd w:val="clear" w:color="FFFFFF" w:fill="FFFFFF"/>
    </w:rPr>
  </w:style>
  <w:style w:type="character" w:customStyle="1" w:styleId="141">
    <w:name w:val="标准名称 Char"/>
    <w:basedOn w:val="140"/>
    <w:link w:val="138"/>
    <w:qFormat/>
    <w:uiPriority w:val="0"/>
    <w:rPr>
      <w:rFonts w:ascii="黑体" w:eastAsia="黑体"/>
      <w:sz w:val="32"/>
      <w:shd w:val="clear" w:color="FFFFFF" w:fill="FFFFFF"/>
    </w:rPr>
  </w:style>
  <w:style w:type="character" w:customStyle="1" w:styleId="142">
    <w:name w:val="批注框文本 字符"/>
    <w:basedOn w:val="35"/>
    <w:link w:val="16"/>
    <w:qFormat/>
    <w:uiPriority w:val="0"/>
    <w:rPr>
      <w:kern w:val="2"/>
      <w:sz w:val="18"/>
      <w:szCs w:val="18"/>
    </w:rPr>
  </w:style>
  <w:style w:type="character" w:customStyle="1" w:styleId="143">
    <w:name w:val="未处理的提及1"/>
    <w:basedOn w:val="35"/>
    <w:semiHidden/>
    <w:unhideWhenUsed/>
    <w:qFormat/>
    <w:uiPriority w:val="99"/>
    <w:rPr>
      <w:color w:val="605E5C"/>
      <w:shd w:val="clear" w:color="auto" w:fill="E1DFDD"/>
    </w:rPr>
  </w:style>
  <w:style w:type="table" w:customStyle="1" w:styleId="144">
    <w:name w:val="网格型11"/>
    <w:basedOn w:val="33"/>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5">
    <w:name w:val="附录一级条标题 Char"/>
    <w:link w:val="104"/>
    <w:qFormat/>
    <w:uiPriority w:val="0"/>
    <w:rPr>
      <w:rFonts w:ascii="黑体" w:eastAsia="黑体"/>
      <w:kern w:val="21"/>
      <w:sz w:val="21"/>
    </w:rPr>
  </w:style>
  <w:style w:type="character" w:customStyle="1" w:styleId="146">
    <w:name w:val="附录标题 Char"/>
    <w:link w:val="86"/>
    <w:qFormat/>
    <w:uiPriority w:val="0"/>
    <w:rPr>
      <w:rFonts w:ascii="黑体" w:eastAsia="黑体"/>
    </w:rPr>
  </w:style>
  <w:style w:type="character" w:customStyle="1" w:styleId="147">
    <w:name w:val="附录标识 Char"/>
    <w:link w:val="85"/>
    <w:qFormat/>
    <w:uiPriority w:val="0"/>
    <w:rPr>
      <w:rFonts w:ascii="黑体" w:eastAsia="黑体"/>
      <w:sz w:val="21"/>
      <w:shd w:val="clear" w:color="FFFFFF" w:fill="FFFFFF"/>
    </w:rPr>
  </w:style>
  <w:style w:type="paragraph" w:styleId="148">
    <w:name w:val="List Paragraph"/>
    <w:basedOn w:val="1"/>
    <w:qFormat/>
    <w:uiPriority w:val="34"/>
    <w:pPr>
      <w:ind w:firstLine="420" w:firstLineChars="200"/>
    </w:pPr>
    <w:rPr>
      <w:rFonts w:ascii="Calibri" w:hAnsi="Calibri"/>
      <w:szCs w:val="22"/>
    </w:rPr>
  </w:style>
  <w:style w:type="paragraph" w:customStyle="1" w:styleId="149">
    <w:name w:val="Body text|1"/>
    <w:basedOn w:val="1"/>
    <w:qFormat/>
    <w:uiPriority w:val="0"/>
    <w:pPr>
      <w:spacing w:line="329" w:lineRule="auto"/>
      <w:ind w:firstLine="400"/>
      <w:jc w:val="left"/>
    </w:pPr>
    <w:rPr>
      <w:rFonts w:ascii="宋体" w:hAnsi="宋体" w:cs="宋体"/>
      <w:sz w:val="20"/>
      <w:szCs w:val="20"/>
      <w:lang w:val="zh-TW" w:eastAsia="zh-TW" w:bidi="zh-TW"/>
    </w:rPr>
  </w:style>
  <w:style w:type="character" w:customStyle="1" w:styleId="150">
    <w:name w:val="注： Char"/>
    <w:link w:val="58"/>
    <w:qFormat/>
    <w:uiPriority w:val="0"/>
    <w:rPr>
      <w:rFonts w:ascii="宋体"/>
      <w:sz w:val="18"/>
      <w:szCs w:val="18"/>
    </w:rPr>
  </w:style>
  <w:style w:type="character" w:customStyle="1" w:styleId="151">
    <w:name w:val="字母编号列项（一级） Char"/>
    <w:link w:val="60"/>
    <w:qFormat/>
    <w:uiPriority w:val="0"/>
    <w:rPr>
      <w:rFonts w:ascii="宋体"/>
      <w:sz w:val="21"/>
    </w:rPr>
  </w:style>
  <w:style w:type="character" w:customStyle="1" w:styleId="152">
    <w:name w:val="fontstyle01"/>
    <w:basedOn w:val="35"/>
    <w:qFormat/>
    <w:uiPriority w:val="0"/>
    <w:rPr>
      <w:rFonts w:hint="eastAsia" w:ascii="宋体" w:hAnsi="宋体" w:eastAsia="宋体"/>
      <w:color w:val="000000"/>
      <w:sz w:val="24"/>
      <w:szCs w:val="24"/>
    </w:rPr>
  </w:style>
  <w:style w:type="paragraph" w:customStyle="1" w:styleId="153">
    <w:name w:val="WPSOffice手动目录 1"/>
    <w:qFormat/>
    <w:uiPriority w:val="0"/>
    <w:rPr>
      <w:rFonts w:ascii="Times New Roman" w:hAnsi="Times New Roman" w:eastAsia="宋体" w:cs="Times New Roman"/>
      <w:lang w:val="en-US" w:eastAsia="zh-CN" w:bidi="ar-SA"/>
    </w:rPr>
  </w:style>
  <w:style w:type="paragraph" w:customStyle="1" w:styleId="154">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55">
    <w:name w:val="批注文字 字符"/>
    <w:basedOn w:val="35"/>
    <w:link w:val="8"/>
    <w:semiHidden/>
    <w:qFormat/>
    <w:uiPriority w:val="0"/>
    <w:rPr>
      <w:kern w:val="2"/>
      <w:sz w:val="21"/>
      <w:szCs w:val="24"/>
    </w:rPr>
  </w:style>
  <w:style w:type="character" w:customStyle="1" w:styleId="156">
    <w:name w:val="批注主题 字符"/>
    <w:basedOn w:val="155"/>
    <w:link w:val="32"/>
    <w:semiHidden/>
    <w:qFormat/>
    <w:uiPriority w:val="0"/>
    <w:rPr>
      <w:b/>
      <w:bCs/>
      <w:kern w:val="2"/>
      <w:sz w:val="21"/>
      <w:szCs w:val="24"/>
    </w:rPr>
  </w:style>
  <w:style w:type="paragraph" w:customStyle="1" w:styleId="157">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58">
    <w:name w:val="标题 1 字符"/>
    <w:basedOn w:val="35"/>
    <w:link w:val="2"/>
    <w:qFormat/>
    <w:uiPriority w:val="0"/>
    <w:rPr>
      <w:b/>
      <w:bCs/>
      <w:kern w:val="44"/>
      <w:sz w:val="44"/>
      <w:szCs w:val="44"/>
    </w:rPr>
  </w:style>
  <w:style w:type="paragraph" w:customStyle="1" w:styleId="159">
    <w:name w:val="TOC Heading"/>
    <w:basedOn w:val="2"/>
    <w:next w:val="1"/>
    <w:semiHidden/>
    <w:unhideWhenUsed/>
    <w:qFormat/>
    <w:uiPriority w:val="39"/>
    <w:pPr>
      <w:outlineLvl w:val="9"/>
    </w:pPr>
  </w:style>
  <w:style w:type="paragraph" w:customStyle="1" w:styleId="160">
    <w:name w:val="标准文件_段"/>
    <w:link w:val="16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1">
    <w:name w:val="标准文件_二级条标题"/>
    <w:next w:val="160"/>
    <w:qFormat/>
    <w:uiPriority w:val="0"/>
    <w:pPr>
      <w:widowControl w:val="0"/>
      <w:spacing w:beforeLines="50" w:afterLines="50"/>
      <w:jc w:val="both"/>
      <w:outlineLvl w:val="2"/>
    </w:pPr>
    <w:rPr>
      <w:rFonts w:ascii="黑体" w:hAnsi="Times New Roman" w:eastAsia="黑体" w:cs="Times New Roman"/>
      <w:sz w:val="21"/>
      <w:lang w:val="en-US" w:eastAsia="zh-CN" w:bidi="ar-SA"/>
    </w:rPr>
  </w:style>
  <w:style w:type="paragraph" w:customStyle="1" w:styleId="162">
    <w:name w:val="标准文件_三级条标题"/>
    <w:basedOn w:val="161"/>
    <w:next w:val="160"/>
    <w:qFormat/>
    <w:uiPriority w:val="0"/>
    <w:pPr>
      <w:widowControl/>
      <w:outlineLvl w:val="3"/>
    </w:pPr>
  </w:style>
  <w:style w:type="paragraph" w:customStyle="1" w:styleId="163">
    <w:name w:val="标准文件_四级条标题"/>
    <w:next w:val="160"/>
    <w:qFormat/>
    <w:uiPriority w:val="0"/>
    <w:pPr>
      <w:widowControl w:val="0"/>
      <w:spacing w:beforeLines="50" w:afterLines="50"/>
      <w:jc w:val="both"/>
      <w:outlineLvl w:val="4"/>
    </w:pPr>
    <w:rPr>
      <w:rFonts w:ascii="黑体" w:hAnsi="Times New Roman" w:eastAsia="黑体" w:cs="Times New Roman"/>
      <w:sz w:val="21"/>
      <w:lang w:val="en-US" w:eastAsia="zh-CN" w:bidi="ar-SA"/>
    </w:rPr>
  </w:style>
  <w:style w:type="paragraph" w:customStyle="1" w:styleId="164">
    <w:name w:val="标准文件_五级条标题"/>
    <w:next w:val="160"/>
    <w:qFormat/>
    <w:uiPriority w:val="0"/>
    <w:pPr>
      <w:widowControl w:val="0"/>
      <w:spacing w:beforeLines="50" w:afterLines="50"/>
      <w:jc w:val="both"/>
      <w:outlineLvl w:val="5"/>
    </w:pPr>
    <w:rPr>
      <w:rFonts w:ascii="黑体" w:hAnsi="Times New Roman" w:eastAsia="黑体" w:cs="Times New Roman"/>
      <w:sz w:val="21"/>
      <w:lang w:val="en-US" w:eastAsia="zh-CN" w:bidi="ar-SA"/>
    </w:rPr>
  </w:style>
  <w:style w:type="paragraph" w:customStyle="1" w:styleId="165">
    <w:name w:val="标准文件_章标题"/>
    <w:next w:val="160"/>
    <w:qFormat/>
    <w:uiPriority w:val="0"/>
    <w:pPr>
      <w:spacing w:beforeLines="100" w:afterLines="100"/>
      <w:jc w:val="both"/>
      <w:outlineLvl w:val="0"/>
    </w:pPr>
    <w:rPr>
      <w:rFonts w:ascii="黑体" w:hAnsi="Times New Roman" w:eastAsia="黑体" w:cs="Times New Roman"/>
      <w:sz w:val="21"/>
      <w:lang w:val="en-US" w:eastAsia="zh-CN" w:bidi="ar-SA"/>
    </w:rPr>
  </w:style>
  <w:style w:type="paragraph" w:customStyle="1" w:styleId="166">
    <w:name w:val="标准文件_一级条标题"/>
    <w:basedOn w:val="165"/>
    <w:next w:val="160"/>
    <w:qFormat/>
    <w:uiPriority w:val="0"/>
    <w:pPr>
      <w:spacing w:beforeLines="50" w:afterLines="50"/>
      <w:outlineLvl w:val="1"/>
    </w:pPr>
  </w:style>
  <w:style w:type="paragraph" w:customStyle="1" w:styleId="167">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168">
    <w:name w:val="标准文件_段 Char"/>
    <w:link w:val="160"/>
    <w:qFormat/>
    <w:uiPriority w:val="0"/>
    <w:rPr>
      <w:rFonts w:ascii="宋体"/>
      <w:sz w:val="21"/>
    </w:rPr>
  </w:style>
  <w:style w:type="paragraph" w:customStyle="1" w:styleId="169">
    <w:name w:val="标准文件_术语条一"/>
    <w:basedOn w:val="1"/>
    <w:next w:val="160"/>
    <w:qFormat/>
    <w:uiPriority w:val="0"/>
    <w:pPr>
      <w:widowControl/>
      <w:numPr>
        <w:ilvl w:val="2"/>
        <w:numId w:val="2"/>
      </w:numPr>
      <w:ind w:left="283"/>
    </w:pPr>
    <w:rPr>
      <w:rFonts w:ascii="宋体"/>
      <w:kern w:val="0"/>
      <w:szCs w:val="20"/>
    </w:rPr>
  </w:style>
  <w:style w:type="paragraph" w:customStyle="1" w:styleId="170">
    <w:name w:val="标准文件_一级无标题"/>
    <w:basedOn w:val="166"/>
    <w:qFormat/>
    <w:uiPriority w:val="0"/>
    <w:pPr>
      <w:numPr>
        <w:ilvl w:val="2"/>
        <w:numId w:val="1"/>
      </w:numPr>
      <w:spacing w:beforeLines="0" w:afterLines="0"/>
      <w:ind w:left="283"/>
      <w:outlineLvl w:val="9"/>
    </w:pPr>
    <w:rPr>
      <w:rFonts w:ascii="宋体" w:eastAsia="宋体"/>
    </w:rPr>
  </w:style>
  <w:style w:type="paragraph" w:customStyle="1" w:styleId="171">
    <w:name w:val="标准文件_二级无标题"/>
    <w:basedOn w:val="161"/>
    <w:qFormat/>
    <w:uiPriority w:val="0"/>
    <w:pPr>
      <w:spacing w:beforeLines="0" w:afterLines="0"/>
      <w:outlineLvl w:val="9"/>
    </w:pPr>
    <w:rPr>
      <w:rFonts w:ascii="宋体" w:eastAsia="宋体"/>
    </w:rPr>
  </w:style>
  <w:style w:type="paragraph" w:customStyle="1" w:styleId="172">
    <w:name w:val="标准文件_三级无标题"/>
    <w:basedOn w:val="162"/>
    <w:qFormat/>
    <w:uiPriority w:val="0"/>
    <w:pPr>
      <w:spacing w:beforeLines="0" w:afterLines="0"/>
      <w:outlineLvl w:val="9"/>
    </w:pPr>
    <w:rPr>
      <w:rFonts w:ascii="宋体"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png"/><Relationship Id="rId28" Type="http://schemas.openxmlformats.org/officeDocument/2006/relationships/theme" Target="theme/theme1.xml"/><Relationship Id="rId27" Type="http://schemas.openxmlformats.org/officeDocument/2006/relationships/footer" Target="footer10.xml"/><Relationship Id="rId26" Type="http://schemas.openxmlformats.org/officeDocument/2006/relationships/footer" Target="footer9.xml"/><Relationship Id="rId25" Type="http://schemas.openxmlformats.org/officeDocument/2006/relationships/header" Target="header15.xml"/><Relationship Id="rId24" Type="http://schemas.openxmlformats.org/officeDocument/2006/relationships/header" Target="header14.xml"/><Relationship Id="rId23" Type="http://schemas.openxmlformats.org/officeDocument/2006/relationships/header" Target="header13.xml"/><Relationship Id="rId22" Type="http://schemas.openxmlformats.org/officeDocument/2006/relationships/footer" Target="footer8.xml"/><Relationship Id="rId21" Type="http://schemas.openxmlformats.org/officeDocument/2006/relationships/footer" Target="footer7.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header" Target="header10.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0"/>
    <customShpInfo spid="_x0000_s2051" textRotate="1"/>
    <customShpInfo spid="_x0000_s2049"/>
    <customShpInfo spid="_x0000_s2053"/>
    <customShpInfo spid="_x0000_s2054"/>
    <customShpInfo spid="_x0000_s2052"/>
    <customShpInfo spid="_x0000_s2056"/>
    <customShpInfo spid="_x0000_s2057"/>
    <customShpInfo spid="_x0000_s2055"/>
    <customShpInfo spid="_x0000_s2059"/>
    <customShpInfo spid="_x0000_s2060"/>
    <customShpInfo spid="_x0000_s2058"/>
    <customShpInfo spid="_x0000_s1026" textRotate="1"/>
    <customShpInfo spid="_x0000_s2062"/>
    <customShpInfo spid="_x0000_s2063"/>
    <customShpInfo spid="_x0000_s206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9AAE45-A396-47CC-AA97-190C9EEE862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24</Pages>
  <Words>12098</Words>
  <Characters>12905</Characters>
  <Lines>8</Lines>
  <Paragraphs>2</Paragraphs>
  <TotalTime>0</TotalTime>
  <ScaleCrop>false</ScaleCrop>
  <LinksUpToDate>false</LinksUpToDate>
  <CharactersWithSpaces>13203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2024-09-26T08:00:00Z</dcterms:created>
  <dc:creator>CNIS</dc:creator>
  <cp:lastModifiedBy>冯帆</cp:lastModifiedBy>
  <cp:lastPrinted>2020-12-22T05:02:00Z</cp:lastPrinted>
  <dcterms:modified xsi:type="dcterms:W3CDTF">2025-06-23T06:00:20Z</dcterms:modified>
  <dc:title>标准名称</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eyJoZGlkIjoiNzRlMGJiZTY3ZDA1YTE3MjE0NWYzZmUwOGY3M2RiNDUiLCJ1c2VySWQiOiIyODU3NzIwNjYifQ==</vt:lpwstr>
  </property>
  <property fmtid="{D5CDD505-2E9C-101B-9397-08002B2CF9AE}" pid="4" name="ICV">
    <vt:lpwstr>7804CA45BB9B4AF0AC9BBC366C2B5136_13</vt:lpwstr>
  </property>
</Properties>
</file>